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A3E6C" w14:textId="2AF4E42F" w:rsidR="0016716F" w:rsidRPr="007C6C48" w:rsidRDefault="0016716F" w:rsidP="007C6C48">
      <w:pPr>
        <w:pStyle w:val="Heading1"/>
        <w:numPr>
          <w:ilvl w:val="0"/>
          <w:numId w:val="0"/>
        </w:numPr>
        <w:ind w:left="432" w:hanging="432"/>
        <w:jc w:val="center"/>
        <w:rPr>
          <w:rFonts w:ascii="Roboto" w:hAnsi="Roboto"/>
          <w:bCs/>
        </w:rPr>
      </w:pPr>
      <w:r w:rsidRPr="007C6C48">
        <w:rPr>
          <w:rFonts w:ascii="Roboto" w:hAnsi="Roboto"/>
          <w:bCs/>
        </w:rPr>
        <w:t>Supplementary Material</w:t>
      </w:r>
      <w:r w:rsidR="00563332" w:rsidRPr="007C6C48">
        <w:rPr>
          <w:rFonts w:ascii="Roboto" w:hAnsi="Roboto"/>
          <w:bCs/>
        </w:rPr>
        <w:t xml:space="preserve"> for </w:t>
      </w:r>
    </w:p>
    <w:p w14:paraId="1F4FC97B" w14:textId="77777777" w:rsidR="007C6C48" w:rsidRPr="007C6C48" w:rsidRDefault="007C6C48" w:rsidP="007C6C48">
      <w:pPr>
        <w:rPr>
          <w:rFonts w:ascii="Roboto" w:hAnsi="Roboto"/>
        </w:rPr>
      </w:pPr>
    </w:p>
    <w:p w14:paraId="5ED0E40D" w14:textId="04157C83" w:rsidR="007C6C48" w:rsidRPr="007C6C48" w:rsidRDefault="007C6C48" w:rsidP="007C6C48">
      <w:pPr>
        <w:rPr>
          <w:rFonts w:ascii="Roboto" w:hAnsi="Roboto"/>
        </w:rPr>
      </w:pPr>
      <w:r w:rsidRPr="007C6C48">
        <w:rPr>
          <w:rFonts w:ascii="Roboto" w:hAnsi="Roboto"/>
        </w:rPr>
        <w:t>Hughes, E., Liggins, P., Wieser, P. and Stolper, E. (2025) “VolFe: an open-source tool for calculating melt-vapor equilibria including silicate melt, carbon, hydrogen, sulfur, and noble gases”, </w:t>
      </w:r>
      <w:r w:rsidRPr="007C6C48">
        <w:rPr>
          <w:rFonts w:ascii="Roboto" w:hAnsi="Roboto"/>
          <w:i/>
          <w:iCs/>
        </w:rPr>
        <w:t>Volcanica</w:t>
      </w:r>
      <w:r w:rsidRPr="007C6C48">
        <w:rPr>
          <w:rFonts w:ascii="Roboto" w:hAnsi="Roboto"/>
        </w:rPr>
        <w:t>, 8(2), pp. 457–481. doi: 10.30909/vol/imvc1781.</w:t>
      </w:r>
    </w:p>
    <w:p w14:paraId="365D6DEC" w14:textId="4880E5BF" w:rsidR="0016716F" w:rsidRPr="007C6C48" w:rsidRDefault="0016716F" w:rsidP="00D03159">
      <w:pPr>
        <w:pStyle w:val="Heading1"/>
        <w:numPr>
          <w:ilvl w:val="0"/>
          <w:numId w:val="3"/>
        </w:numPr>
        <w:rPr>
          <w:rFonts w:ascii="Roboto" w:hAnsi="Roboto"/>
        </w:rPr>
      </w:pPr>
      <w:r w:rsidRPr="007C6C48">
        <w:rPr>
          <w:rFonts w:ascii="Roboto" w:hAnsi="Roboto"/>
        </w:rPr>
        <w:t>Parameterisations for model dependent variables</w:t>
      </w:r>
    </w:p>
    <w:p w14:paraId="394ED179" w14:textId="77777777" w:rsidR="0016716F" w:rsidRPr="007C6C48" w:rsidRDefault="0016716F" w:rsidP="0016716F">
      <w:pPr>
        <w:pStyle w:val="Heading2"/>
        <w:rPr>
          <w:rFonts w:ascii="Roboto" w:hAnsi="Roboto"/>
        </w:rPr>
      </w:pPr>
      <w:bookmarkStart w:id="0" w:name="_Ref170066107"/>
      <w:bookmarkStart w:id="1" w:name="_Ref171353078"/>
      <w:r w:rsidRPr="007C6C48">
        <w:rPr>
          <w:rFonts w:ascii="Roboto" w:hAnsi="Roboto"/>
        </w:rPr>
        <w:t>New parameterisation</w:t>
      </w:r>
      <w:bookmarkEnd w:id="0"/>
      <w:r w:rsidRPr="007C6C48">
        <w:rPr>
          <w:rFonts w:ascii="Roboto" w:hAnsi="Roboto"/>
        </w:rPr>
        <w:t>s</w:t>
      </w:r>
      <w:bookmarkEnd w:id="1"/>
    </w:p>
    <w:p w14:paraId="1FC6E786" w14:textId="7A5E53E6" w:rsidR="0016716F" w:rsidRPr="007C6C48" w:rsidRDefault="0016716F" w:rsidP="0016716F">
      <w:pPr>
        <w:rPr>
          <w:rFonts w:ascii="Roboto" w:hAnsi="Roboto"/>
        </w:rPr>
      </w:pPr>
      <w:r w:rsidRPr="007C6C48">
        <w:rPr>
          <w:rFonts w:ascii="Roboto" w:hAnsi="Roboto"/>
        </w:rPr>
        <w:t xml:space="preserve">The solubility </w:t>
      </w:r>
      <w:r w:rsidR="006A647B" w:rsidRPr="007C6C48">
        <w:rPr>
          <w:rFonts w:ascii="Roboto" w:hAnsi="Roboto"/>
        </w:rPr>
        <w:t xml:space="preserve">function </w:t>
      </w:r>
      <w:r w:rsidRPr="007C6C48">
        <w:rPr>
          <w:rFonts w:ascii="Roboto" w:hAnsi="Roboto"/>
        </w:rPr>
        <w:t xml:space="preserve">for water in rhyolite was parameterised from the experimental data of </w:t>
      </w:r>
      <w:r w:rsidRPr="007C6C48">
        <w:rPr>
          <w:rFonts w:ascii="Roboto" w:hAnsi="Roboto"/>
        </w:rPr>
        <w:fldChar w:fldCharType="begin" w:fldLock="1"/>
      </w:r>
      <w:r w:rsidRPr="007C6C48">
        <w:rPr>
          <w:rFonts w:ascii="Roboto" w:hAnsi="Roboto"/>
        </w:rPr>
        <w:instrText xml:space="preserve">ADDIN CSL_CITATION {"citationItems":[{"id":"ITEM-1","itemData":{"author":[{"dropping-particle":"","family":"Kadik","given":"A.A.","non-dropping-particle":"","parse-names":false,"suffix":""},{"dropping-particle":"","family":"Lukanin","given":"O.A.","non-dropping-particle":"","parse-names":false,"suffix":""},{"dropping-particle":"","family":"Lebedev","given":"Yeo B.","non-dropping-particle":"","parse-names":false,"suffix":""},{"dropping-particle":"","family":"Korovushkina","given":"E. Ye","non-dropping-particle":"","parse-names":false,"suffix":""}],"container-title":"Geochem. Int.","id":"ITEM-1","issued":{"date-parts":[["1972"]]},"page":"1041-1050","title":"Solubility of H2O and CO2 in granite and basalt melts at high pressures","type":"article-journal","volume":"9"},"uris":["http://www.mendeley.com/documents/?uuid=8c64f48d-0d43-4bf3-b19d-7cc79175f015"]},{"id":"ITEM-2","itemData":{"DOI":"10.1007/BF00306439","ISSN":"0010-7999","author":[{"dropping-particle":"","family":"Silver","given":"Lynn A.","non-dropping-particle":"","parse-names":false,"suffix":""},{"dropping-particle":"","family":"Ihinger","given":"Phillip D.","non-dropping-particle":"","parse-names":false,"suffix":""},{"dropping-particle":"","family":"Stolper","given":"Edward M.","non-dropping-particle":"","parse-names":false,"suffix":""}],"container-title":"Contributions to Mineralogy and Petrology","id":"ITEM-2","issue":"2","issued":{"date-parts":[["1990","2"]]},"page":"142-162","publisher":"Springer-Verlag","title":"The influence of bulk composition on the speciation of water in silicate glasses","type":"article-journal","volume":"104"},"uris":["http://www.mendeley.com/documents/?uuid=8ca53ffb-ef22-3cc7-8b6e-f16f15a09865"]},{"id":"ITEM-3","itemData":{"DOI":"10.1016/0012-821X(93)90004-S","ISSN":"0012821X","abstract":"Concentrations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w:instrText>
      </w:r>
      <w:r w:rsidRPr="007C6C48">
        <w:rPr>
          <w:rFonts w:ascii="Roboto" w:hAnsi="Roboto"/>
          <w:lang w:val="nl-NL"/>
        </w:rPr>
        <w:instrText>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Letters","id":"ITEM-3","issue":"1-2","issued":{"date-parts":[["1993","8","1"]]},"page":"27-36","publisher":"Elsevier","title":"Solubilities of carbon dioxide and water in rhyolitic melt at 850°C and 750 bars","type":"article-journal","volume":"119"},"uris":["http://www.mendeley.com/documents/?uuid=de062b80-3b0f-3519-9580-a70f60d20275"]}],"mendeley":{"formattedCitation":"(Blank et al., 1993b; Kadik et al., 1972; Silver et al., 1990)","manualFormatting":"Blank et al. (1993), Kadik et al. (1972), and Silver et al. (1990)","plainTextFormattedCitation":"(Blank et al., 1993b; Kadik et al., 1972; Silver et al., 1990)","previouslyFormattedCitation":"(Blank et al., 1993b; Kadik et al., 1972; Silver et al., 1990)"},"properties":{"noteIndex":0},"schema":"https://github.com/citation-style-language/schema/raw/master/csl-citation.json"}</w:instrText>
      </w:r>
      <w:r w:rsidRPr="007C6C48">
        <w:rPr>
          <w:rFonts w:ascii="Roboto" w:hAnsi="Roboto"/>
        </w:rPr>
        <w:fldChar w:fldCharType="separate"/>
      </w:r>
      <w:r w:rsidRPr="007C6C48">
        <w:rPr>
          <w:rFonts w:ascii="Roboto" w:hAnsi="Roboto"/>
          <w:noProof/>
          <w:lang w:val="nl-NL"/>
        </w:rPr>
        <w:t xml:space="preserve">Blank et al. (1993), Kadik et al. (1972), and Silver et al. </w:t>
      </w:r>
      <w:r w:rsidRPr="007C6C48">
        <w:rPr>
          <w:rFonts w:ascii="Roboto" w:hAnsi="Roboto"/>
          <w:noProof/>
        </w:rPr>
        <w:t>(1990)</w:t>
      </w:r>
      <w:r w:rsidRPr="007C6C48">
        <w:rPr>
          <w:rFonts w:ascii="Roboto" w:hAnsi="Roboto"/>
        </w:rPr>
        <w:fldChar w:fldCharType="end"/>
      </w:r>
      <w:r w:rsidRPr="007C6C48">
        <w:rPr>
          <w:rFonts w:ascii="Roboto" w:hAnsi="Roboto"/>
        </w:rPr>
        <w:t xml:space="preserve"> in Figure 3 of </w:t>
      </w:r>
      <w:r w:rsidRPr="007C6C48">
        <w:rPr>
          <w:rFonts w:ascii="Roboto" w:hAnsi="Roboto"/>
        </w:rPr>
        <w:fldChar w:fldCharType="begin" w:fldLock="1"/>
      </w:r>
      <w:r w:rsidRPr="007C6C48">
        <w:rPr>
          <w:rFonts w:ascii="Roboto" w:hAnsi="Roboto"/>
        </w:rPr>
        <w:instrText>ADDIN CSL_CITATION {"citationItems":[{"id":"ITEM-1","itemData":{"DOI":"10.1016/0012-821X(93)90004-S","ISSN":"0012821X","abstract":"Concentrations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Letters","id":"ITEM-1","issue":"1-2","issued":{"date-parts":[["1993","8","1"]]},"page":"27-36","publisher":"Elsevier","title":"Solubilities of carbon dioxide and water in rhyolitic melt at 850°C and 750 bars","type":"article-journal","volume":"119"},"uris":["http://www.mendeley.com/documents/?uuid=de062b80-3b0f-3519-9580-a70f60d20275"]}],"mendeley":{"formattedCitation":"(Blank et al., 1993b)","manualFormatting":"Blank et al. (1993)","plainTextFormattedCitation":"(Blank et al., 1993b)","previouslyFormattedCitation":"(Blank et al., 1993b)"},"properties":{"noteIndex":0},"schema":"https://github.com/citation-style-language/schema/raw/master/csl-citation.json"}</w:instrText>
      </w:r>
      <w:r w:rsidRPr="007C6C48">
        <w:rPr>
          <w:rFonts w:ascii="Roboto" w:hAnsi="Roboto"/>
        </w:rPr>
        <w:fldChar w:fldCharType="separate"/>
      </w:r>
      <w:r w:rsidRPr="007C6C48">
        <w:rPr>
          <w:rFonts w:ascii="Roboto" w:hAnsi="Roboto"/>
          <w:noProof/>
        </w:rPr>
        <w:t>Blank et al. (1993)</w:t>
      </w:r>
      <w:r w:rsidRPr="007C6C48">
        <w:rPr>
          <w:rFonts w:ascii="Roboto" w:hAnsi="Roboto"/>
        </w:rPr>
        <w:fldChar w:fldCharType="end"/>
      </w:r>
      <w:r w:rsidRPr="007C6C48">
        <w:rPr>
          <w:rFonts w:ascii="Roboto" w:hAnsi="Roboto"/>
        </w:rPr>
        <w:t xml:space="preserve"> as shown in </w:t>
      </w:r>
      <w:r w:rsidRPr="007C6C48">
        <w:rPr>
          <w:rFonts w:ascii="Roboto" w:hAnsi="Roboto"/>
        </w:rPr>
        <w:fldChar w:fldCharType="begin"/>
      </w:r>
      <w:r w:rsidRPr="007C6C48">
        <w:rPr>
          <w:rFonts w:ascii="Roboto" w:hAnsi="Roboto"/>
        </w:rPr>
        <w:instrText xml:space="preserve"> REF _Ref171352830 \h </w:instrText>
      </w:r>
      <w:r w:rsidRPr="007C6C48">
        <w:rPr>
          <w:rFonts w:ascii="Roboto" w:hAnsi="Roboto"/>
        </w:rPr>
      </w:r>
      <w:r w:rsidR="007C6C48">
        <w:rPr>
          <w:rFonts w:ascii="Roboto" w:hAnsi="Roboto"/>
        </w:rPr>
        <w:instrText xml:space="preserve"> \* MERGEFORMAT </w:instrText>
      </w:r>
      <w:r w:rsidRPr="007C6C48">
        <w:rPr>
          <w:rFonts w:ascii="Roboto" w:hAnsi="Roboto"/>
        </w:rPr>
        <w:fldChar w:fldCharType="separate"/>
      </w:r>
      <w:r w:rsidR="006A647B" w:rsidRPr="007C6C48">
        <w:rPr>
          <w:rFonts w:ascii="Roboto" w:hAnsi="Roboto"/>
          <w:color w:val="000000" w:themeColor="text1"/>
          <w:szCs w:val="20"/>
        </w:rPr>
        <w:t>Figure S</w:t>
      </w:r>
      <w:r w:rsidR="006A647B" w:rsidRPr="007C6C48">
        <w:rPr>
          <w:rFonts w:ascii="Roboto" w:hAnsi="Roboto"/>
          <w:noProof/>
          <w:color w:val="000000" w:themeColor="text1"/>
          <w:szCs w:val="20"/>
        </w:rPr>
        <w:t>1</w:t>
      </w:r>
      <w:r w:rsidRPr="007C6C48">
        <w:rPr>
          <w:rFonts w:ascii="Roboto" w:hAnsi="Roboto"/>
        </w:rPr>
        <w:fldChar w:fldCharType="end"/>
      </w:r>
      <w:r w:rsidR="00370488" w:rsidRPr="007C6C48">
        <w:rPr>
          <w:rFonts w:ascii="Roboto" w:hAnsi="Roboto"/>
        </w:rPr>
        <w:t xml:space="preserve"> and eq. (S1).</w:t>
      </w:r>
    </w:p>
    <w:p w14:paraId="2CACCDFB" w14:textId="77777777" w:rsidR="0016716F" w:rsidRPr="007C6C48" w:rsidRDefault="0016716F" w:rsidP="0016716F">
      <w:pPr>
        <w:rPr>
          <w:rFonts w:ascii="Roboto" w:hAnsi="Roboto"/>
        </w:rPr>
      </w:pPr>
    </w:p>
    <w:p w14:paraId="7C66E8E7" w14:textId="77777777" w:rsidR="0016716F" w:rsidRPr="007C6C48" w:rsidRDefault="0016716F" w:rsidP="0016716F">
      <w:pPr>
        <w:pStyle w:val="NoSpacing"/>
        <w:keepNext/>
        <w:spacing w:after="0"/>
        <w:jc w:val="center"/>
        <w:rPr>
          <w:rFonts w:ascii="Roboto" w:hAnsi="Roboto"/>
        </w:rPr>
      </w:pPr>
      <w:r w:rsidRPr="007C6C48">
        <w:rPr>
          <w:rFonts w:ascii="Roboto" w:hAnsi="Roboto"/>
          <w:noProof/>
        </w:rPr>
        <w:drawing>
          <wp:inline distT="0" distB="0" distL="0" distR="0" wp14:anchorId="344DC4AB" wp14:editId="267EA3EC">
            <wp:extent cx="2880000" cy="1723213"/>
            <wp:effectExtent l="0" t="0" r="3175" b="4445"/>
            <wp:docPr id="5" name="Picture 5" descr="A graph of a graph of a number of numbers and a 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f a graph of a number of numbers and a line&#10;&#10;Description automatically generated with medium confidenc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0000" cy="1723213"/>
                    </a:xfrm>
                    <a:prstGeom prst="rect">
                      <a:avLst/>
                    </a:prstGeom>
                  </pic:spPr>
                </pic:pic>
              </a:graphicData>
            </a:graphic>
          </wp:inline>
        </w:drawing>
      </w:r>
    </w:p>
    <w:p w14:paraId="1301D424" w14:textId="705256C5" w:rsidR="0016716F" w:rsidRPr="007C6C48" w:rsidRDefault="0016716F" w:rsidP="0016716F">
      <w:pPr>
        <w:pStyle w:val="Caption"/>
        <w:jc w:val="both"/>
        <w:rPr>
          <w:rFonts w:ascii="Roboto" w:hAnsi="Roboto"/>
          <w:color w:val="000000" w:themeColor="text1"/>
          <w:szCs w:val="20"/>
        </w:rPr>
      </w:pPr>
      <w:bookmarkStart w:id="2" w:name="_Ref171352830"/>
      <w:r w:rsidRPr="007C6C48">
        <w:rPr>
          <w:rFonts w:ascii="Roboto" w:hAnsi="Roboto"/>
          <w:color w:val="000000" w:themeColor="text1"/>
          <w:szCs w:val="20"/>
        </w:rPr>
        <w:t>Figure S</w:t>
      </w:r>
      <w:r w:rsidRPr="007C6C48">
        <w:rPr>
          <w:rFonts w:ascii="Roboto" w:hAnsi="Roboto"/>
          <w:color w:val="000000" w:themeColor="text1"/>
          <w:szCs w:val="20"/>
        </w:rPr>
        <w:fldChar w:fldCharType="begin"/>
      </w:r>
      <w:r w:rsidRPr="007C6C48">
        <w:rPr>
          <w:rFonts w:ascii="Roboto" w:hAnsi="Roboto"/>
          <w:color w:val="000000" w:themeColor="text1"/>
          <w:szCs w:val="20"/>
        </w:rPr>
        <w:instrText xml:space="preserve"> SEQ Figure \* ARABIC </w:instrText>
      </w:r>
      <w:r w:rsidRPr="007C6C48">
        <w:rPr>
          <w:rFonts w:ascii="Roboto" w:hAnsi="Roboto"/>
          <w:color w:val="000000" w:themeColor="text1"/>
          <w:szCs w:val="20"/>
        </w:rPr>
        <w:fldChar w:fldCharType="separate"/>
      </w:r>
      <w:r w:rsidR="006829FE" w:rsidRPr="007C6C48">
        <w:rPr>
          <w:rFonts w:ascii="Roboto" w:hAnsi="Roboto"/>
          <w:noProof/>
          <w:color w:val="000000" w:themeColor="text1"/>
          <w:szCs w:val="20"/>
        </w:rPr>
        <w:t>1</w:t>
      </w:r>
      <w:r w:rsidRPr="007C6C48">
        <w:rPr>
          <w:rFonts w:ascii="Roboto" w:hAnsi="Roboto"/>
          <w:color w:val="000000" w:themeColor="text1"/>
          <w:szCs w:val="20"/>
        </w:rPr>
        <w:fldChar w:fldCharType="end"/>
      </w:r>
      <w:bookmarkEnd w:id="2"/>
      <w:r w:rsidRPr="007C6C48">
        <w:rPr>
          <w:rFonts w:ascii="Roboto" w:hAnsi="Roboto"/>
          <w:color w:val="000000" w:themeColor="text1"/>
          <w:szCs w:val="20"/>
        </w:rPr>
        <w:t>. Water concentration</w:t>
      </w:r>
      <w:r w:rsidR="006A647B" w:rsidRPr="007C6C48">
        <w:rPr>
          <w:rFonts w:ascii="Roboto" w:hAnsi="Roboto"/>
          <w:color w:val="000000" w:themeColor="text1"/>
          <w:szCs w:val="20"/>
        </w:rPr>
        <w:t xml:space="preserve"> squared (mole fraction)</w:t>
      </w:r>
      <w:r w:rsidRPr="007C6C48">
        <w:rPr>
          <w:rFonts w:ascii="Roboto" w:hAnsi="Roboto"/>
          <w:color w:val="000000" w:themeColor="text1"/>
          <w:szCs w:val="20"/>
        </w:rPr>
        <w:t xml:space="preserve"> against </w:t>
      </w:r>
      <w:r w:rsidRPr="007C6C48">
        <w:rPr>
          <w:rFonts w:ascii="Roboto" w:hAnsi="Roboto"/>
          <w:i/>
          <w:iCs w:val="0"/>
          <w:color w:val="000000" w:themeColor="text1"/>
          <w:szCs w:val="20"/>
        </w:rPr>
        <w:t>f</w:t>
      </w:r>
      <w:r w:rsidRPr="007C6C48">
        <w:rPr>
          <w:rFonts w:ascii="Roboto" w:hAnsi="Roboto"/>
          <w:color w:val="000000" w:themeColor="text1"/>
          <w:szCs w:val="20"/>
          <w:vertAlign w:val="subscript"/>
        </w:rPr>
        <w:t>H2O</w:t>
      </w:r>
      <w:r w:rsidRPr="007C6C48">
        <w:rPr>
          <w:rFonts w:ascii="Roboto" w:hAnsi="Roboto"/>
          <w:color w:val="000000" w:themeColor="text1"/>
          <w:szCs w:val="20"/>
        </w:rPr>
        <w:t xml:space="preserve"> </w:t>
      </w:r>
      <w:r w:rsidR="006A647B" w:rsidRPr="007C6C48">
        <w:rPr>
          <w:rFonts w:ascii="Roboto" w:hAnsi="Roboto"/>
          <w:color w:val="000000" w:themeColor="text1"/>
          <w:szCs w:val="20"/>
        </w:rPr>
        <w:t xml:space="preserve">(bar) </w:t>
      </w:r>
      <w:r w:rsidRPr="007C6C48">
        <w:rPr>
          <w:rFonts w:ascii="Roboto" w:hAnsi="Roboto"/>
          <w:color w:val="000000" w:themeColor="text1"/>
          <w:szCs w:val="20"/>
        </w:rPr>
        <w:t xml:space="preserve">for rhyolitic melts from the experimental data of </w:t>
      </w:r>
      <w:r w:rsidRPr="007C6C48">
        <w:rPr>
          <w:rFonts w:ascii="Roboto" w:hAnsi="Roboto"/>
          <w:color w:val="000000" w:themeColor="text1"/>
        </w:rPr>
        <w:fldChar w:fldCharType="begin" w:fldLock="1"/>
      </w:r>
      <w:r w:rsidRPr="007C6C48">
        <w:rPr>
          <w:rFonts w:ascii="Roboto" w:hAnsi="Roboto"/>
          <w:color w:val="000000" w:themeColor="text1"/>
        </w:rPr>
        <w:instrText xml:space="preserve">ADDIN CSL_CITATION {"citationItems":[{"id":"ITEM-1","itemData":{"author":[{"dropping-particle":"","family":"Kadik","given":"A.A.","non-dropping-particle":"","parse-names":false,"suffix":""},{"dropping-particle":"","family":"Lukanin","given":"O.A.","non-dropping-particle":"","parse-names":false,"suffix":""},{"dropping-particle":"","family":"Lebedev","given":"Yeo B.","non-dropping-particle":"","parse-names":false,"suffix":""},{"dropping-particle":"","family":"Korovushkina","given":"E. Ye","non-dropping-particle":"","parse-names":false,"suffix":""}],"container-title":"Geochem. Int.","id":"ITEM-1","issued":{"date-parts":[["1972"]]},"page":"1041-1050","title":"Solubility of H2O and CO2 in granite and basalt melts at high pressures","type":"article-journal","volume":"9"},"uris":["http://www.mendeley.com/documents/?uuid=8c64f48d-0d43-4bf3-b19d-7cc79175f015"]},{"id":"ITEM-2","itemData":{"DOI":"10.1007/BF00306439","ISSN":"0010-7999","author":[{"dropping-particle":"","family":"Silver","given":"Lynn A.","non-dropping-particle":"","parse-names":false,"suffix":""},{"dropping-particle":"","family":"Ihinger","given":"Phillip D.","non-dropping-particle":"","parse-names":false,"suffix":""},{"dropping-particle":"","family":"Stolper","given":"Edward M.","non-dropping-particle":"","parse-names":false,"suffix":""}],"container-title":"Contributions to Mineralogy and Petrology","id":"ITEM-2","issue":"2","issued":{"date-parts":[["1990","2"]]},"page":"142-162","publisher":"Springer-Verlag","title":"The influence of bulk composition on the speciation of water in silicate glasses","type":"article-journal","volume":"104"},"uris":["http://www.mendeley.com/documents/?uuid=8ca53ffb-ef22-3cc7-8b6e-f16f15a09865"]},{"id":"ITEM-3","itemData":{"DOI":"10.1016/0012-821X(93)90004-S","ISSN":"0012821X","abstract":"Concentrations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w:instrText>
      </w:r>
      <w:r w:rsidRPr="007C6C48">
        <w:rPr>
          <w:rFonts w:ascii="Roboto" w:hAnsi="Roboto"/>
          <w:color w:val="000000" w:themeColor="text1"/>
          <w:lang w:val="nl-NL"/>
        </w:rPr>
        <w:instrText>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Letters","id":"ITEM-3","issue":"1-2","issued":{"date-parts":[["1993","8","1"]]},"page":"27-36","publisher":"Elsevier","title":"Solubilities of carbon dioxide and water in rhyolitic melt at 850°C and 750 bars","type":"article-journal","volume":"119"},"uris":["http://www.mendeley.com/documents/?uuid=de062b80-3b0f-3519-9580-a70f60d20275"]}],"mendeley":{"formattedCitation":"(Blank et al., 1993b; Kadik et al., 1972; Silver et al., 1990)","manualFormatting":"Blank et al. (1993), Kadik et al. (1972), and Silver et al. (1990)","plainTextFormattedCitation":"(Blank et al., 1993b; Kadik et al., 1972; Silver et al., 1990)","previouslyFormattedCitation":"(Blank et al., 1993b; Kadik et al., 1972; Silver et al., 1990)"},"properties":{"noteIndex":0},"schema":"https://github.com/citation-style-language/schema/raw/master/csl-citation.json"}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lang w:val="nl-NL"/>
        </w:rPr>
        <w:t xml:space="preserve">Blank et al. (1993), Kadik et al. (1972), and Silver et al. </w:t>
      </w:r>
      <w:r w:rsidRPr="007C6C48">
        <w:rPr>
          <w:rFonts w:ascii="Roboto" w:hAnsi="Roboto"/>
          <w:noProof/>
          <w:color w:val="000000" w:themeColor="text1"/>
        </w:rPr>
        <w:t>(1990)</w:t>
      </w:r>
      <w:r w:rsidRPr="007C6C48">
        <w:rPr>
          <w:rFonts w:ascii="Roboto" w:hAnsi="Roboto"/>
          <w:color w:val="000000" w:themeColor="text1"/>
        </w:rPr>
        <w:fldChar w:fldCharType="end"/>
      </w:r>
      <w:r w:rsidRPr="007C6C48">
        <w:rPr>
          <w:rFonts w:ascii="Roboto" w:hAnsi="Roboto"/>
          <w:color w:val="000000" w:themeColor="text1"/>
        </w:rPr>
        <w:t xml:space="preserve"> in Figure 3 of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Letters","id":"ITEM-1","issue":"1-2","issued":{"date-parts":[["1993","8","1"]]},"page":"27-36","publisher":"Elsevier","title":"Solubilities of carbon dioxide and water in rhyolitic melt at 850°C and 750 bars","type":"article-journal","volume":"119"},"uris":["http://www.mendeley.com/documents/?uuid=de062b80-3b0f-3519-9580-a70f60d20275"]}],"mendeley":{"formattedCitation":"(Blank et al., 1993b)","manualFormatting":"Blank et al. (1993)","plainTextFormattedCitation":"(Blank et al., 1993b)","previouslyFormattedCitation":"(Blank et al., 1993b)"},"properties":{"noteIndex":0},"schema":"https://github.com/citation-style-language/schema/raw/master/csl-citation.json"}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Blank et al. (1993)</w:t>
      </w:r>
      <w:r w:rsidRPr="007C6C48">
        <w:rPr>
          <w:rFonts w:ascii="Roboto" w:hAnsi="Roboto"/>
          <w:color w:val="000000" w:themeColor="text1"/>
        </w:rPr>
        <w:fldChar w:fldCharType="end"/>
      </w:r>
      <w:r w:rsidRPr="007C6C48">
        <w:rPr>
          <w:rFonts w:ascii="Roboto" w:hAnsi="Roboto"/>
          <w:color w:val="000000" w:themeColor="text1"/>
          <w:szCs w:val="20"/>
        </w:rPr>
        <w:t xml:space="preserve">. The coefficient in the equation is the solubility function for </w:t>
      </w:r>
      <w:r w:rsidR="006A647B" w:rsidRPr="007C6C48">
        <w:rPr>
          <w:rFonts w:ascii="Roboto" w:hAnsi="Roboto"/>
          <w:color w:val="000000" w:themeColor="text1"/>
          <w:szCs w:val="20"/>
        </w:rPr>
        <w:t xml:space="preserve">water in </w:t>
      </w:r>
      <w:r w:rsidRPr="007C6C48">
        <w:rPr>
          <w:rFonts w:ascii="Roboto" w:hAnsi="Roboto"/>
          <w:color w:val="000000" w:themeColor="text1"/>
          <w:szCs w:val="20"/>
        </w:rPr>
        <w:t>rhyolite</w:t>
      </w:r>
      <w:r w:rsidR="006A647B" w:rsidRPr="007C6C48">
        <w:rPr>
          <w:rFonts w:ascii="Roboto" w:hAnsi="Roboto"/>
          <w:color w:val="000000" w:themeColor="text1"/>
          <w:szCs w:val="20"/>
        </w:rPr>
        <w:t xml:space="preserve"> where water concentration is in mole fraction and </w:t>
      </w:r>
      <w:r w:rsidR="006A647B" w:rsidRPr="007C6C48">
        <w:rPr>
          <w:rFonts w:ascii="Roboto" w:hAnsi="Roboto"/>
          <w:i/>
          <w:iCs w:val="0"/>
          <w:color w:val="000000" w:themeColor="text1"/>
          <w:szCs w:val="20"/>
        </w:rPr>
        <w:t>f</w:t>
      </w:r>
      <w:r w:rsidR="006A647B" w:rsidRPr="007C6C48">
        <w:rPr>
          <w:rFonts w:ascii="Roboto" w:hAnsi="Roboto"/>
          <w:color w:val="000000" w:themeColor="text1"/>
          <w:szCs w:val="20"/>
          <w:vertAlign w:val="subscript"/>
        </w:rPr>
        <w:t>H2O</w:t>
      </w:r>
      <w:r w:rsidR="006A647B" w:rsidRPr="007C6C48">
        <w:rPr>
          <w:rFonts w:ascii="Roboto" w:hAnsi="Roboto"/>
          <w:color w:val="000000" w:themeColor="text1"/>
          <w:szCs w:val="20"/>
        </w:rPr>
        <w:t xml:space="preserve"> is in bars</w:t>
      </w:r>
      <w:r w:rsidRPr="007C6C48">
        <w:rPr>
          <w:rFonts w:ascii="Roboto" w:hAnsi="Roboto"/>
          <w:color w:val="000000" w:themeColor="text1"/>
          <w:szCs w:val="20"/>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370488" w:rsidRPr="007C6C48" w14:paraId="399D3FD3" w14:textId="77777777" w:rsidTr="00B45276">
        <w:tc>
          <w:tcPr>
            <w:tcW w:w="8217" w:type="dxa"/>
          </w:tcPr>
          <w:p w14:paraId="2EB97A45" w14:textId="10BED223" w:rsidR="00370488" w:rsidRPr="007C6C48" w:rsidRDefault="00000000" w:rsidP="0016716F">
            <w:pPr>
              <w:ind w:firstLine="0"/>
              <w:rPr>
                <w:rFonts w:ascii="Roboto" w:hAnsi="Roboto"/>
              </w:rPr>
            </w:pPr>
            <m:oMathPara>
              <m:oMath>
                <m:sSubSup>
                  <m:sSubSupPr>
                    <m:ctrlPr>
                      <w:rPr>
                        <w:rFonts w:ascii="Cambria Math" w:hAnsi="Cambria Math"/>
                        <w:i/>
                      </w:rPr>
                    </m:ctrlPr>
                  </m:sSubSupPr>
                  <m:e>
                    <m:r>
                      <w:rPr>
                        <w:rFonts w:ascii="Cambria Math" w:hAnsi="Cambria Math"/>
                      </w:rPr>
                      <m:t>C</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T</m:t>
                        </m:r>
                      </m:sub>
                    </m:sSub>
                  </m:sub>
                  <m:sup>
                    <m:r>
                      <m:rPr>
                        <m:sty m:val="p"/>
                      </m:rPr>
                      <w:rPr>
                        <w:rFonts w:ascii="Cambria Math" w:hAnsi="Cambria Math"/>
                      </w:rPr>
                      <m:t>rhyolite</m:t>
                    </m:r>
                  </m:sup>
                </m:sSub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x</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sSub>
                                  <m:sSubPr>
                                    <m:ctrlPr>
                                      <w:rPr>
                                        <w:rFonts w:ascii="Cambria Math" w:hAnsi="Cambria Math"/>
                                        <w:iCs/>
                                      </w:rPr>
                                    </m:ctrlPr>
                                  </m:sSubPr>
                                  <m:e>
                                    <m:r>
                                      <m:rPr>
                                        <m:sty m:val="p"/>
                                      </m:rPr>
                                      <w:rPr>
                                        <w:rFonts w:ascii="Cambria Math" w:hAnsi="Cambria Math"/>
                                      </w:rPr>
                                      <m:t>O</m:t>
                                    </m:r>
                                  </m:e>
                                  <m:sub>
                                    <m:r>
                                      <m:rPr>
                                        <m:sty m:val="p"/>
                                      </m:rPr>
                                      <w:rPr>
                                        <w:rFonts w:ascii="Cambria Math" w:hAnsi="Cambria Math"/>
                                      </w:rPr>
                                      <m:t>T</m:t>
                                    </m:r>
                                  </m:sub>
                                </m:sSub>
                              </m:sub>
                              <m:sup>
                                <m:r>
                                  <w:rPr>
                                    <w:rFonts w:ascii="Cambria Math" w:hAnsi="Cambria Math"/>
                                  </w:rPr>
                                  <m:t>m</m:t>
                                </m:r>
                              </m:sup>
                            </m:sSubSup>
                          </m:e>
                        </m:d>
                      </m:e>
                      <m:sup>
                        <m:r>
                          <w:rPr>
                            <w:rFonts w:ascii="Cambria Math" w:hAnsi="Cambria Math"/>
                          </w:rPr>
                          <m:t>2</m:t>
                        </m:r>
                      </m:sup>
                    </m:sSup>
                  </m:num>
                  <m:den>
                    <m:sSub>
                      <m:sSubPr>
                        <m:ctrlPr>
                          <w:rPr>
                            <w:rFonts w:ascii="Cambria Math" w:hAnsi="Cambria Math"/>
                            <w:i/>
                          </w:rPr>
                        </m:ctrlPr>
                      </m:sSubPr>
                      <m:e>
                        <m:r>
                          <w:rPr>
                            <w:rFonts w:ascii="Cambria Math" w:hAnsi="Cambria Math"/>
                          </w:rPr>
                          <m:t>f</m:t>
                        </m:r>
                      </m:e>
                      <m:sub>
                        <m:sSub>
                          <m:sSubPr>
                            <m:ctrlPr>
                              <w:rPr>
                                <w:rFonts w:ascii="Cambria Math" w:hAnsi="Cambria Math"/>
                                <w:iCs/>
                              </w:rPr>
                            </m:ctrlPr>
                          </m:sSubPr>
                          <m:e>
                            <m:r>
                              <m:rPr>
                                <m:sty m:val="p"/>
                              </m:rPr>
                              <w:rPr>
                                <w:rFonts w:ascii="Cambria Math" w:hAnsi="Cambria Math"/>
                              </w:rPr>
                              <m:t>H</m:t>
                            </m:r>
                          </m:e>
                          <m:sub>
                            <m:r>
                              <m:rPr>
                                <m:sty m:val="p"/>
                              </m:rPr>
                              <w:rPr>
                                <w:rFonts w:ascii="Cambria Math" w:hAnsi="Cambria Math"/>
                              </w:rPr>
                              <m:t>2</m:t>
                            </m:r>
                          </m:sub>
                        </m:sSub>
                        <m:r>
                          <m:rPr>
                            <m:sty m:val="p"/>
                          </m:rPr>
                          <w:rPr>
                            <w:rFonts w:ascii="Cambria Math" w:hAnsi="Cambria Math"/>
                          </w:rPr>
                          <m:t>O</m:t>
                        </m:r>
                      </m:sub>
                    </m:sSub>
                  </m:den>
                </m:f>
                <m:r>
                  <w:rPr>
                    <w:rFonts w:ascii="Cambria Math" w:hAnsi="Cambria Math"/>
                  </w:rPr>
                  <m:t>=5.3851×</m:t>
                </m:r>
                <m:sSup>
                  <m:sSupPr>
                    <m:ctrlPr>
                      <w:rPr>
                        <w:rFonts w:ascii="Cambria Math" w:hAnsi="Cambria Math"/>
                        <w:i/>
                      </w:rPr>
                    </m:ctrlPr>
                  </m:sSupPr>
                  <m:e>
                    <m:r>
                      <w:rPr>
                        <w:rFonts w:ascii="Cambria Math" w:hAnsi="Cambria Math"/>
                      </w:rPr>
                      <m:t>10</m:t>
                    </m:r>
                  </m:e>
                  <m:sup>
                    <m:r>
                      <w:rPr>
                        <w:rFonts w:ascii="Cambria Math" w:hAnsi="Cambria Math"/>
                      </w:rPr>
                      <m:t>-6</m:t>
                    </m:r>
                  </m:sup>
                </m:sSup>
              </m:oMath>
            </m:oMathPara>
          </w:p>
        </w:tc>
        <w:tc>
          <w:tcPr>
            <w:tcW w:w="799" w:type="dxa"/>
            <w:vAlign w:val="center"/>
          </w:tcPr>
          <w:p w14:paraId="660A70FB" w14:textId="03B7E6E0" w:rsidR="00370488" w:rsidRPr="007C6C48" w:rsidRDefault="00370488" w:rsidP="00B45276">
            <w:pPr>
              <w:ind w:firstLine="0"/>
              <w:jc w:val="center"/>
              <w:rPr>
                <w:rFonts w:ascii="Roboto" w:hAnsi="Roboto"/>
              </w:rPr>
            </w:pPr>
            <w:r w:rsidRPr="007C6C48">
              <w:rPr>
                <w:rFonts w:ascii="Roboto" w:hAnsi="Roboto"/>
              </w:rPr>
              <w:t>(S1)</w:t>
            </w:r>
          </w:p>
        </w:tc>
      </w:tr>
    </w:tbl>
    <w:p w14:paraId="0EAB11BE" w14:textId="77777777" w:rsidR="00370488" w:rsidRPr="007C6C48" w:rsidRDefault="00370488" w:rsidP="00B45276">
      <w:pPr>
        <w:ind w:firstLine="0"/>
        <w:rPr>
          <w:rFonts w:ascii="Roboto" w:hAnsi="Roboto"/>
        </w:rPr>
      </w:pPr>
    </w:p>
    <w:p w14:paraId="4834240C" w14:textId="0FC59C83" w:rsidR="0016716F" w:rsidRPr="007C6C48" w:rsidRDefault="0016716F" w:rsidP="0016716F">
      <w:pPr>
        <w:rPr>
          <w:rFonts w:ascii="Roboto" w:hAnsi="Roboto"/>
        </w:rPr>
      </w:pPr>
      <w:r w:rsidRPr="007C6C48">
        <w:rPr>
          <w:rFonts w:ascii="Roboto" w:hAnsi="Roboto"/>
        </w:rPr>
        <w:t xml:space="preserve">The solubility </w:t>
      </w:r>
      <w:r w:rsidR="006A647B" w:rsidRPr="007C6C48">
        <w:rPr>
          <w:rFonts w:ascii="Roboto" w:hAnsi="Roboto"/>
        </w:rPr>
        <w:t xml:space="preserve">functions </w:t>
      </w:r>
      <w:r w:rsidRPr="007C6C48">
        <w:rPr>
          <w:rFonts w:ascii="Roboto" w:hAnsi="Roboto"/>
        </w:rPr>
        <w:t xml:space="preserve">for Ar and Ne in basalt and rhyolite were parameterised from the experimental data of </w:t>
      </w:r>
      <w:r w:rsidRPr="007C6C48">
        <w:rPr>
          <w:rFonts w:ascii="Roboto" w:hAnsi="Roboto"/>
        </w:rPr>
        <w:fldChar w:fldCharType="begin" w:fldLock="1"/>
      </w:r>
      <w:r w:rsidRPr="007C6C48">
        <w:rPr>
          <w:rFonts w:ascii="Roboto" w:hAnsi="Roboto"/>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Pr="007C6C48">
        <w:rPr>
          <w:rFonts w:ascii="Roboto" w:hAnsi="Roboto"/>
        </w:rPr>
        <w:fldChar w:fldCharType="separate"/>
      </w:r>
      <w:r w:rsidRPr="007C6C48">
        <w:rPr>
          <w:rFonts w:ascii="Roboto" w:hAnsi="Roboto"/>
          <w:noProof/>
        </w:rPr>
        <w:t>Iacono-Marziano et al. (2010)</w:t>
      </w:r>
      <w:r w:rsidRPr="007C6C48">
        <w:rPr>
          <w:rFonts w:ascii="Roboto" w:hAnsi="Roboto"/>
        </w:rPr>
        <w:fldChar w:fldCharType="end"/>
      </w:r>
      <w:r w:rsidRPr="007C6C48">
        <w:rPr>
          <w:rFonts w:ascii="Roboto" w:hAnsi="Roboto"/>
        </w:rPr>
        <w:t xml:space="preserve"> as shown in </w:t>
      </w:r>
      <w:r w:rsidRPr="007C6C48">
        <w:rPr>
          <w:rFonts w:ascii="Roboto" w:hAnsi="Roboto"/>
        </w:rPr>
        <w:fldChar w:fldCharType="begin"/>
      </w:r>
      <w:r w:rsidRPr="007C6C48">
        <w:rPr>
          <w:rFonts w:ascii="Roboto" w:hAnsi="Roboto"/>
        </w:rPr>
        <w:instrText xml:space="preserve"> REF _Ref171101966 \h </w:instrText>
      </w:r>
      <w:r w:rsidRPr="007C6C48">
        <w:rPr>
          <w:rFonts w:ascii="Roboto" w:hAnsi="Roboto"/>
        </w:rPr>
      </w:r>
      <w:r w:rsidR="007C6C48">
        <w:rPr>
          <w:rFonts w:ascii="Roboto" w:hAnsi="Roboto"/>
        </w:rPr>
        <w:instrText xml:space="preserve"> \* MERGEFORMAT </w:instrText>
      </w:r>
      <w:r w:rsidRPr="007C6C48">
        <w:rPr>
          <w:rFonts w:ascii="Roboto" w:hAnsi="Roboto"/>
        </w:rPr>
        <w:fldChar w:fldCharType="separate"/>
      </w:r>
      <w:r w:rsidR="006A647B" w:rsidRPr="007C6C48">
        <w:rPr>
          <w:rFonts w:ascii="Roboto" w:hAnsi="Roboto"/>
          <w:color w:val="000000" w:themeColor="text1"/>
          <w:szCs w:val="20"/>
        </w:rPr>
        <w:t>Figure S</w:t>
      </w:r>
      <w:r w:rsidR="006A647B" w:rsidRPr="007C6C48">
        <w:rPr>
          <w:rFonts w:ascii="Roboto" w:hAnsi="Roboto"/>
          <w:noProof/>
          <w:color w:val="000000" w:themeColor="text1"/>
          <w:szCs w:val="20"/>
        </w:rPr>
        <w:t>2</w:t>
      </w:r>
      <w:r w:rsidRPr="007C6C48">
        <w:rPr>
          <w:rFonts w:ascii="Roboto" w:hAnsi="Roboto"/>
        </w:rPr>
        <w:fldChar w:fldCharType="end"/>
      </w:r>
      <w:r w:rsidR="00370488" w:rsidRPr="007C6C48">
        <w:rPr>
          <w:rFonts w:ascii="Roboto" w:hAnsi="Roboto"/>
        </w:rPr>
        <w:t xml:space="preserve"> and eq. (S2–5).</w:t>
      </w:r>
    </w:p>
    <w:p w14:paraId="1357B854" w14:textId="77777777" w:rsidR="0016716F" w:rsidRPr="007C6C48" w:rsidRDefault="0016716F" w:rsidP="0016716F">
      <w:pPr>
        <w:rPr>
          <w:rFonts w:ascii="Roboto" w:hAnsi="Roboto"/>
        </w:rPr>
      </w:pPr>
    </w:p>
    <w:p w14:paraId="27472B6F" w14:textId="77777777" w:rsidR="0016716F" w:rsidRPr="007C6C48" w:rsidRDefault="0016716F" w:rsidP="0016716F">
      <w:pPr>
        <w:pStyle w:val="NoSpacing"/>
        <w:keepNext/>
        <w:spacing w:after="0"/>
        <w:jc w:val="center"/>
        <w:rPr>
          <w:rFonts w:ascii="Roboto" w:hAnsi="Roboto"/>
        </w:rPr>
      </w:pPr>
      <w:r w:rsidRPr="007C6C48">
        <w:rPr>
          <w:rFonts w:ascii="Roboto" w:hAnsi="Roboto"/>
          <w:noProof/>
        </w:rPr>
        <w:drawing>
          <wp:inline distT="0" distB="0" distL="0" distR="0" wp14:anchorId="6363595E" wp14:editId="756853AC">
            <wp:extent cx="2880000" cy="1731191"/>
            <wp:effectExtent l="0" t="0" r="3175" b="0"/>
            <wp:docPr id="8" name="Picture 8"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diagram of a graph&#10;&#10;Description automatically generated with medium confidenc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0000" cy="1731191"/>
                    </a:xfrm>
                    <a:prstGeom prst="rect">
                      <a:avLst/>
                    </a:prstGeom>
                  </pic:spPr>
                </pic:pic>
              </a:graphicData>
            </a:graphic>
          </wp:inline>
        </w:drawing>
      </w:r>
    </w:p>
    <w:p w14:paraId="705A0EA6" w14:textId="3E0D65EC" w:rsidR="0016716F" w:rsidRPr="007C6C48" w:rsidRDefault="0016716F" w:rsidP="0016716F">
      <w:pPr>
        <w:pStyle w:val="Caption"/>
        <w:rPr>
          <w:rFonts w:ascii="Roboto" w:hAnsi="Roboto"/>
          <w:color w:val="000000" w:themeColor="text1"/>
          <w:szCs w:val="20"/>
        </w:rPr>
      </w:pPr>
      <w:bookmarkStart w:id="3" w:name="_Ref171101966"/>
      <w:r w:rsidRPr="007C6C48">
        <w:rPr>
          <w:rFonts w:ascii="Roboto" w:hAnsi="Roboto"/>
          <w:color w:val="000000" w:themeColor="text1"/>
          <w:szCs w:val="20"/>
        </w:rPr>
        <w:t>Figure S</w:t>
      </w:r>
      <w:r w:rsidRPr="007C6C48">
        <w:rPr>
          <w:rFonts w:ascii="Roboto" w:hAnsi="Roboto"/>
          <w:color w:val="000000" w:themeColor="text1"/>
          <w:szCs w:val="20"/>
        </w:rPr>
        <w:fldChar w:fldCharType="begin"/>
      </w:r>
      <w:r w:rsidRPr="007C6C48">
        <w:rPr>
          <w:rFonts w:ascii="Roboto" w:hAnsi="Roboto"/>
          <w:color w:val="000000" w:themeColor="text1"/>
          <w:szCs w:val="20"/>
        </w:rPr>
        <w:instrText xml:space="preserve"> SEQ Figure \* ARABIC </w:instrText>
      </w:r>
      <w:r w:rsidRPr="007C6C48">
        <w:rPr>
          <w:rFonts w:ascii="Roboto" w:hAnsi="Roboto"/>
          <w:color w:val="000000" w:themeColor="text1"/>
          <w:szCs w:val="20"/>
        </w:rPr>
        <w:fldChar w:fldCharType="separate"/>
      </w:r>
      <w:r w:rsidR="006829FE" w:rsidRPr="007C6C48">
        <w:rPr>
          <w:rFonts w:ascii="Roboto" w:hAnsi="Roboto"/>
          <w:noProof/>
          <w:color w:val="000000" w:themeColor="text1"/>
          <w:szCs w:val="20"/>
        </w:rPr>
        <w:t>2</w:t>
      </w:r>
      <w:r w:rsidRPr="007C6C48">
        <w:rPr>
          <w:rFonts w:ascii="Roboto" w:hAnsi="Roboto"/>
          <w:color w:val="000000" w:themeColor="text1"/>
          <w:szCs w:val="20"/>
        </w:rPr>
        <w:fldChar w:fldCharType="end"/>
      </w:r>
      <w:bookmarkEnd w:id="3"/>
      <w:r w:rsidRPr="007C6C48">
        <w:rPr>
          <w:rFonts w:ascii="Roboto" w:hAnsi="Roboto"/>
          <w:color w:val="000000" w:themeColor="text1"/>
          <w:szCs w:val="20"/>
        </w:rPr>
        <w:t>. Concentration</w:t>
      </w:r>
      <w:r w:rsidR="006A647B" w:rsidRPr="007C6C48">
        <w:rPr>
          <w:rFonts w:ascii="Roboto" w:hAnsi="Roboto"/>
          <w:color w:val="000000" w:themeColor="text1"/>
          <w:szCs w:val="20"/>
        </w:rPr>
        <w:t xml:space="preserve"> (ppmw)</w:t>
      </w:r>
      <w:r w:rsidRPr="007C6C48">
        <w:rPr>
          <w:rFonts w:ascii="Roboto" w:hAnsi="Roboto"/>
          <w:color w:val="000000" w:themeColor="text1"/>
          <w:szCs w:val="20"/>
        </w:rPr>
        <w:t xml:space="preserve"> against partial pressure</w:t>
      </w:r>
      <w:r w:rsidR="006A647B" w:rsidRPr="007C6C48">
        <w:rPr>
          <w:rFonts w:ascii="Roboto" w:hAnsi="Roboto"/>
          <w:color w:val="000000" w:themeColor="text1"/>
          <w:szCs w:val="20"/>
        </w:rPr>
        <w:t xml:space="preserve"> (bar)</w:t>
      </w:r>
      <w:r w:rsidRPr="007C6C48">
        <w:rPr>
          <w:rFonts w:ascii="Roboto" w:hAnsi="Roboto"/>
          <w:color w:val="000000" w:themeColor="text1"/>
          <w:szCs w:val="20"/>
        </w:rPr>
        <w:t xml:space="preserve"> for Ar (squares) and Ne (circles) in basalt (blue) and rhyolite (red) using experimental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Iacono-Marziano et al. (2010)</w:t>
      </w:r>
      <w:r w:rsidRPr="007C6C48">
        <w:rPr>
          <w:rFonts w:ascii="Roboto" w:hAnsi="Roboto"/>
          <w:color w:val="000000" w:themeColor="text1"/>
        </w:rPr>
        <w:fldChar w:fldCharType="end"/>
      </w:r>
      <w:r w:rsidRPr="007C6C48">
        <w:rPr>
          <w:rFonts w:ascii="Roboto" w:hAnsi="Roboto"/>
          <w:color w:val="000000" w:themeColor="text1"/>
          <w:szCs w:val="20"/>
        </w:rPr>
        <w:t xml:space="preserve">. The coefficient in each equation is the value of the solubility </w:t>
      </w:r>
      <w:r w:rsidR="006A647B" w:rsidRPr="007C6C48">
        <w:rPr>
          <w:rFonts w:ascii="Roboto" w:hAnsi="Roboto"/>
          <w:color w:val="000000" w:themeColor="text1"/>
          <w:szCs w:val="20"/>
        </w:rPr>
        <w:t>function in ppmw/bar</w:t>
      </w:r>
      <w:r w:rsidRPr="007C6C48">
        <w:rPr>
          <w:rFonts w:ascii="Roboto" w:hAnsi="Roboto"/>
          <w:color w:val="000000" w:themeColor="text1"/>
          <w:szCs w:val="20"/>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7"/>
        <w:gridCol w:w="799"/>
      </w:tblGrid>
      <w:tr w:rsidR="00370488" w:rsidRPr="007C6C48" w14:paraId="574E082B" w14:textId="77777777" w:rsidTr="0033622B">
        <w:tc>
          <w:tcPr>
            <w:tcW w:w="8217" w:type="dxa"/>
          </w:tcPr>
          <w:p w14:paraId="72DD6A7A" w14:textId="4856642B" w:rsidR="00370488" w:rsidRPr="007C6C48" w:rsidRDefault="00000000" w:rsidP="0033622B">
            <w:pPr>
              <w:ind w:firstLine="0"/>
              <w:rPr>
                <w:rFonts w:ascii="Roboto" w:hAnsi="Roboto"/>
              </w:rPr>
            </w:pPr>
            <m:oMathPara>
              <m:oMath>
                <m:sSubSup>
                  <m:sSubSupPr>
                    <m:ctrlPr>
                      <w:rPr>
                        <w:rFonts w:ascii="Cambria Math" w:hAnsi="Cambria Math"/>
                        <w:i/>
                      </w:rPr>
                    </m:ctrlPr>
                  </m:sSubSupPr>
                  <m:e>
                    <m:r>
                      <w:rPr>
                        <w:rFonts w:ascii="Cambria Math" w:hAnsi="Cambria Math"/>
                      </w:rPr>
                      <m:t>C</m:t>
                    </m:r>
                  </m:e>
                  <m:sub>
                    <m:r>
                      <m:rPr>
                        <m:sty m:val="p"/>
                      </m:rPr>
                      <w:rPr>
                        <w:rFonts w:ascii="Cambria Math" w:hAnsi="Cambria Math"/>
                      </w:rPr>
                      <m:t>Ar</m:t>
                    </m:r>
                  </m:sub>
                  <m:sup>
                    <m:r>
                      <m:rPr>
                        <m:sty m:val="p"/>
                      </m:rPr>
                      <w:rPr>
                        <w:rFonts w:ascii="Cambria Math" w:hAnsi="Cambria Math"/>
                      </w:rPr>
                      <m:t>basalt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m:rPr>
                            <m:sty m:val="p"/>
                          </m:rPr>
                          <w:rPr>
                            <w:rFonts w:ascii="Cambria Math" w:hAnsi="Cambria Math"/>
                          </w:rPr>
                          <m:t>Ar</m:t>
                        </m:r>
                      </m:sub>
                      <m:sup>
                        <m:r>
                          <w:rPr>
                            <w:rFonts w:ascii="Cambria Math" w:hAnsi="Cambria Math"/>
                          </w:rPr>
                          <m:t>m</m:t>
                        </m:r>
                      </m:sup>
                    </m:sSubSup>
                  </m:num>
                  <m:den>
                    <m:sSub>
                      <m:sSubPr>
                        <m:ctrlPr>
                          <w:rPr>
                            <w:rFonts w:ascii="Cambria Math" w:hAnsi="Cambria Math"/>
                            <w:i/>
                          </w:rPr>
                        </m:ctrlPr>
                      </m:sSubPr>
                      <m:e>
                        <m:r>
                          <w:rPr>
                            <w:rFonts w:ascii="Cambria Math" w:hAnsi="Cambria Math"/>
                          </w:rPr>
                          <m:t>p</m:t>
                        </m:r>
                      </m:e>
                      <m:sub>
                        <m:r>
                          <m:rPr>
                            <m:sty m:val="p"/>
                          </m:rPr>
                          <w:rPr>
                            <w:rFonts w:ascii="Cambria Math" w:hAnsi="Cambria Math"/>
                          </w:rPr>
                          <m:t>Ar</m:t>
                        </m:r>
                      </m:sub>
                    </m:sSub>
                  </m:den>
                </m:f>
                <m:r>
                  <w:rPr>
                    <w:rFonts w:ascii="Cambria Math" w:hAnsi="Cambria Math"/>
                  </w:rPr>
                  <m:t>=0.0799</m:t>
                </m:r>
              </m:oMath>
            </m:oMathPara>
          </w:p>
        </w:tc>
        <w:tc>
          <w:tcPr>
            <w:tcW w:w="799" w:type="dxa"/>
            <w:vAlign w:val="center"/>
          </w:tcPr>
          <w:p w14:paraId="334ACAAC" w14:textId="7A893895" w:rsidR="00370488" w:rsidRPr="007C6C48" w:rsidRDefault="00370488" w:rsidP="0033622B">
            <w:pPr>
              <w:ind w:firstLine="0"/>
              <w:jc w:val="center"/>
              <w:rPr>
                <w:rFonts w:ascii="Roboto" w:hAnsi="Roboto"/>
              </w:rPr>
            </w:pPr>
            <w:r w:rsidRPr="007C6C48">
              <w:rPr>
                <w:rFonts w:ascii="Roboto" w:hAnsi="Roboto"/>
              </w:rPr>
              <w:t>(S2)</w:t>
            </w:r>
          </w:p>
        </w:tc>
      </w:tr>
      <w:tr w:rsidR="00370488" w:rsidRPr="007C6C48" w14:paraId="30972859" w14:textId="77777777" w:rsidTr="0033622B">
        <w:tc>
          <w:tcPr>
            <w:tcW w:w="8217" w:type="dxa"/>
          </w:tcPr>
          <w:p w14:paraId="034735B8" w14:textId="4150505E" w:rsidR="00370488" w:rsidRPr="007C6C48" w:rsidRDefault="00000000" w:rsidP="0033622B">
            <w:pPr>
              <w:ind w:firstLine="0"/>
              <w:rPr>
                <w:rFonts w:ascii="Roboto" w:hAnsi="Roboto"/>
              </w:rPr>
            </w:pPr>
            <m:oMathPara>
              <m:oMath>
                <m:sSubSup>
                  <m:sSubSupPr>
                    <m:ctrlPr>
                      <w:rPr>
                        <w:rFonts w:ascii="Cambria Math" w:hAnsi="Cambria Math"/>
                        <w:i/>
                      </w:rPr>
                    </m:ctrlPr>
                  </m:sSubSupPr>
                  <m:e>
                    <m:r>
                      <w:rPr>
                        <w:rFonts w:ascii="Cambria Math" w:hAnsi="Cambria Math"/>
                      </w:rPr>
                      <m:t>C</m:t>
                    </m:r>
                  </m:e>
                  <m:sub>
                    <m:r>
                      <m:rPr>
                        <m:sty m:val="p"/>
                      </m:rPr>
                      <w:rPr>
                        <w:rFonts w:ascii="Cambria Math" w:hAnsi="Cambria Math"/>
                      </w:rPr>
                      <m:t>Ar</m:t>
                    </m:r>
                  </m:sub>
                  <m:sup>
                    <m:r>
                      <m:rPr>
                        <m:sty m:val="p"/>
                      </m:rPr>
                      <w:rPr>
                        <w:rFonts w:ascii="Cambria Math" w:hAnsi="Cambria Math"/>
                      </w:rPr>
                      <m:t>rhyolite</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m:rPr>
                            <m:sty m:val="p"/>
                          </m:rPr>
                          <w:rPr>
                            <w:rFonts w:ascii="Cambria Math" w:hAnsi="Cambria Math"/>
                          </w:rPr>
                          <m:t>Ar</m:t>
                        </m:r>
                      </m:sub>
                      <m:sup>
                        <m:r>
                          <w:rPr>
                            <w:rFonts w:ascii="Cambria Math" w:hAnsi="Cambria Math"/>
                          </w:rPr>
                          <m:t>m</m:t>
                        </m:r>
                      </m:sup>
                    </m:sSubSup>
                  </m:num>
                  <m:den>
                    <m:sSub>
                      <m:sSubPr>
                        <m:ctrlPr>
                          <w:rPr>
                            <w:rFonts w:ascii="Cambria Math" w:hAnsi="Cambria Math"/>
                            <w:i/>
                          </w:rPr>
                        </m:ctrlPr>
                      </m:sSubPr>
                      <m:e>
                        <m:r>
                          <w:rPr>
                            <w:rFonts w:ascii="Cambria Math" w:hAnsi="Cambria Math"/>
                          </w:rPr>
                          <m:t>p</m:t>
                        </m:r>
                      </m:e>
                      <m:sub>
                        <m:r>
                          <m:rPr>
                            <m:sty m:val="p"/>
                          </m:rPr>
                          <w:rPr>
                            <w:rFonts w:ascii="Cambria Math" w:hAnsi="Cambria Math"/>
                          </w:rPr>
                          <m:t>Ar</m:t>
                        </m:r>
                      </m:sub>
                    </m:sSub>
                  </m:den>
                </m:f>
                <m:r>
                  <w:rPr>
                    <w:rFonts w:ascii="Cambria Math" w:hAnsi="Cambria Math"/>
                  </w:rPr>
                  <m:t>=0.4400</m:t>
                </m:r>
              </m:oMath>
            </m:oMathPara>
          </w:p>
          <w:p w14:paraId="78523E11" w14:textId="09BCC1F6" w:rsidR="00370488" w:rsidRPr="007C6C48" w:rsidRDefault="00370488" w:rsidP="0033622B">
            <w:pPr>
              <w:ind w:firstLine="0"/>
              <w:rPr>
                <w:rFonts w:ascii="Roboto" w:hAnsi="Roboto"/>
              </w:rPr>
            </w:pPr>
          </w:p>
        </w:tc>
        <w:tc>
          <w:tcPr>
            <w:tcW w:w="799" w:type="dxa"/>
            <w:vAlign w:val="center"/>
          </w:tcPr>
          <w:p w14:paraId="0624106F" w14:textId="26B58D86" w:rsidR="00370488" w:rsidRPr="007C6C48" w:rsidRDefault="00370488" w:rsidP="0033622B">
            <w:pPr>
              <w:ind w:firstLine="0"/>
              <w:jc w:val="center"/>
              <w:rPr>
                <w:rFonts w:ascii="Roboto" w:hAnsi="Roboto"/>
              </w:rPr>
            </w:pPr>
            <w:r w:rsidRPr="007C6C48">
              <w:rPr>
                <w:rFonts w:ascii="Roboto" w:hAnsi="Roboto"/>
              </w:rPr>
              <w:t>(S3)</w:t>
            </w:r>
          </w:p>
        </w:tc>
      </w:tr>
      <w:tr w:rsidR="00370488" w:rsidRPr="007C6C48" w14:paraId="37A44181" w14:textId="77777777" w:rsidTr="0033622B">
        <w:tc>
          <w:tcPr>
            <w:tcW w:w="8217" w:type="dxa"/>
          </w:tcPr>
          <w:p w14:paraId="385E63CE" w14:textId="0219C5B6" w:rsidR="00370488" w:rsidRPr="007C6C48" w:rsidRDefault="00000000" w:rsidP="0033622B">
            <w:pPr>
              <w:ind w:firstLine="0"/>
              <w:rPr>
                <w:rFonts w:ascii="Roboto" w:hAnsi="Roboto"/>
              </w:rPr>
            </w:pPr>
            <m:oMathPara>
              <m:oMath>
                <m:sSubSup>
                  <m:sSubSupPr>
                    <m:ctrlPr>
                      <w:rPr>
                        <w:rFonts w:ascii="Cambria Math" w:hAnsi="Cambria Math"/>
                        <w:i/>
                      </w:rPr>
                    </m:ctrlPr>
                  </m:sSubSupPr>
                  <m:e>
                    <m:r>
                      <w:rPr>
                        <w:rFonts w:ascii="Cambria Math" w:hAnsi="Cambria Math"/>
                      </w:rPr>
                      <m:t>C</m:t>
                    </m:r>
                  </m:e>
                  <m:sub>
                    <m:r>
                      <m:rPr>
                        <m:sty m:val="p"/>
                      </m:rPr>
                      <w:rPr>
                        <w:rFonts w:ascii="Cambria Math" w:hAnsi="Cambria Math"/>
                      </w:rPr>
                      <m:t>Ne</m:t>
                    </m:r>
                  </m:sub>
                  <m:sup>
                    <m:r>
                      <m:rPr>
                        <m:sty m:val="p"/>
                      </m:rPr>
                      <w:rPr>
                        <w:rFonts w:ascii="Cambria Math" w:hAnsi="Cambria Math"/>
                      </w:rPr>
                      <m:t>basalt</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m:rPr>
                            <m:sty m:val="p"/>
                          </m:rPr>
                          <w:rPr>
                            <w:rFonts w:ascii="Cambria Math" w:hAnsi="Cambria Math"/>
                          </w:rPr>
                          <m:t>Ne</m:t>
                        </m:r>
                      </m:sub>
                      <m:sup>
                        <m:r>
                          <w:rPr>
                            <w:rFonts w:ascii="Cambria Math" w:hAnsi="Cambria Math"/>
                          </w:rPr>
                          <m:t>m</m:t>
                        </m:r>
                      </m:sup>
                    </m:sSubSup>
                  </m:num>
                  <m:den>
                    <m:sSub>
                      <m:sSubPr>
                        <m:ctrlPr>
                          <w:rPr>
                            <w:rFonts w:ascii="Cambria Math" w:hAnsi="Cambria Math"/>
                            <w:i/>
                          </w:rPr>
                        </m:ctrlPr>
                      </m:sSubPr>
                      <m:e>
                        <m:r>
                          <w:rPr>
                            <w:rFonts w:ascii="Cambria Math" w:hAnsi="Cambria Math"/>
                          </w:rPr>
                          <m:t>p</m:t>
                        </m:r>
                      </m:e>
                      <m:sub>
                        <m:r>
                          <m:rPr>
                            <m:sty m:val="p"/>
                          </m:rPr>
                          <w:rPr>
                            <w:rFonts w:ascii="Cambria Math" w:hAnsi="Cambria Math"/>
                          </w:rPr>
                          <m:t>Ne</m:t>
                        </m:r>
                      </m:sub>
                    </m:sSub>
                  </m:den>
                </m:f>
                <m:r>
                  <w:rPr>
                    <w:rFonts w:ascii="Cambria Math" w:hAnsi="Cambria Math"/>
                  </w:rPr>
                  <m:t>=0.1504</m:t>
                </m:r>
              </m:oMath>
            </m:oMathPara>
          </w:p>
          <w:p w14:paraId="427C1B12" w14:textId="3A3A4C24" w:rsidR="00370488" w:rsidRPr="007C6C48" w:rsidRDefault="00370488" w:rsidP="0033622B">
            <w:pPr>
              <w:ind w:firstLine="0"/>
              <w:rPr>
                <w:rFonts w:ascii="Roboto" w:hAnsi="Roboto"/>
              </w:rPr>
            </w:pPr>
          </w:p>
        </w:tc>
        <w:tc>
          <w:tcPr>
            <w:tcW w:w="799" w:type="dxa"/>
            <w:vAlign w:val="center"/>
          </w:tcPr>
          <w:p w14:paraId="2E276040" w14:textId="63C6BBB6" w:rsidR="00370488" w:rsidRPr="007C6C48" w:rsidRDefault="00370488" w:rsidP="0033622B">
            <w:pPr>
              <w:ind w:firstLine="0"/>
              <w:jc w:val="center"/>
              <w:rPr>
                <w:rFonts w:ascii="Roboto" w:hAnsi="Roboto"/>
              </w:rPr>
            </w:pPr>
            <w:r w:rsidRPr="007C6C48">
              <w:rPr>
                <w:rFonts w:ascii="Roboto" w:hAnsi="Roboto"/>
              </w:rPr>
              <w:t>(S4)</w:t>
            </w:r>
          </w:p>
        </w:tc>
      </w:tr>
      <w:tr w:rsidR="00370488" w:rsidRPr="007C6C48" w14:paraId="072A21FE" w14:textId="77777777" w:rsidTr="0033622B">
        <w:tc>
          <w:tcPr>
            <w:tcW w:w="8217" w:type="dxa"/>
          </w:tcPr>
          <w:p w14:paraId="5B14F2B9" w14:textId="1981FA73" w:rsidR="00370488" w:rsidRPr="007C6C48" w:rsidRDefault="00000000" w:rsidP="0033622B">
            <w:pPr>
              <w:ind w:firstLine="0"/>
              <w:rPr>
                <w:rFonts w:ascii="Roboto" w:hAnsi="Roboto"/>
              </w:rPr>
            </w:pPr>
            <m:oMathPara>
              <m:oMath>
                <m:sSubSup>
                  <m:sSubSupPr>
                    <m:ctrlPr>
                      <w:rPr>
                        <w:rFonts w:ascii="Cambria Math" w:hAnsi="Cambria Math"/>
                        <w:i/>
                      </w:rPr>
                    </m:ctrlPr>
                  </m:sSubSupPr>
                  <m:e>
                    <m:r>
                      <w:rPr>
                        <w:rFonts w:ascii="Cambria Math" w:hAnsi="Cambria Math"/>
                      </w:rPr>
                      <m:t>C</m:t>
                    </m:r>
                  </m:e>
                  <m:sub>
                    <m:r>
                      <m:rPr>
                        <m:sty m:val="p"/>
                      </m:rPr>
                      <w:rPr>
                        <w:rFonts w:ascii="Cambria Math" w:hAnsi="Cambria Math"/>
                      </w:rPr>
                      <m:t>Ne</m:t>
                    </m:r>
                  </m:sub>
                  <m:sup>
                    <m:r>
                      <m:rPr>
                        <m:sty m:val="p"/>
                      </m:rPr>
                      <w:rPr>
                        <w:rFonts w:ascii="Cambria Math" w:hAnsi="Cambria Math"/>
                      </w:rPr>
                      <m:t>rhyolite</m:t>
                    </m:r>
                  </m:sup>
                </m:sSubSup>
                <m:r>
                  <w:rPr>
                    <w:rFonts w:ascii="Cambria Math" w:hAnsi="Cambria Math"/>
                  </w:rPr>
                  <m:t>=</m:t>
                </m:r>
                <m:f>
                  <m:fPr>
                    <m:ctrlPr>
                      <w:rPr>
                        <w:rFonts w:ascii="Cambria Math" w:hAnsi="Cambria Math"/>
                        <w:i/>
                      </w:rPr>
                    </m:ctrlPr>
                  </m:fPr>
                  <m:num>
                    <m:sSubSup>
                      <m:sSubSupPr>
                        <m:ctrlPr>
                          <w:rPr>
                            <w:rFonts w:ascii="Cambria Math" w:hAnsi="Cambria Math"/>
                            <w:i/>
                          </w:rPr>
                        </m:ctrlPr>
                      </m:sSubSupPr>
                      <m:e>
                        <m:r>
                          <w:rPr>
                            <w:rFonts w:ascii="Cambria Math" w:hAnsi="Cambria Math"/>
                          </w:rPr>
                          <m:t>w</m:t>
                        </m:r>
                      </m:e>
                      <m:sub>
                        <m:r>
                          <m:rPr>
                            <m:sty m:val="p"/>
                          </m:rPr>
                          <w:rPr>
                            <w:rFonts w:ascii="Cambria Math" w:hAnsi="Cambria Math"/>
                          </w:rPr>
                          <m:t>Ne</m:t>
                        </m:r>
                      </m:sub>
                      <m:sup>
                        <m:r>
                          <w:rPr>
                            <w:rFonts w:ascii="Cambria Math" w:hAnsi="Cambria Math"/>
                          </w:rPr>
                          <m:t>m</m:t>
                        </m:r>
                      </m:sup>
                    </m:sSubSup>
                  </m:num>
                  <m:den>
                    <m:sSub>
                      <m:sSubPr>
                        <m:ctrlPr>
                          <w:rPr>
                            <w:rFonts w:ascii="Cambria Math" w:hAnsi="Cambria Math"/>
                            <w:i/>
                          </w:rPr>
                        </m:ctrlPr>
                      </m:sSubPr>
                      <m:e>
                        <m:r>
                          <w:rPr>
                            <w:rFonts w:ascii="Cambria Math" w:hAnsi="Cambria Math"/>
                          </w:rPr>
                          <m:t>p</m:t>
                        </m:r>
                      </m:e>
                      <m:sub>
                        <m:r>
                          <m:rPr>
                            <m:sty m:val="p"/>
                          </m:rPr>
                          <w:rPr>
                            <w:rFonts w:ascii="Cambria Math" w:hAnsi="Cambria Math"/>
                          </w:rPr>
                          <m:t>Ne</m:t>
                        </m:r>
                      </m:sub>
                    </m:sSub>
                  </m:den>
                </m:f>
                <m:r>
                  <w:rPr>
                    <w:rFonts w:ascii="Cambria Math" w:hAnsi="Cambria Math"/>
                  </w:rPr>
                  <m:t>=0.8464</m:t>
                </m:r>
              </m:oMath>
            </m:oMathPara>
          </w:p>
        </w:tc>
        <w:tc>
          <w:tcPr>
            <w:tcW w:w="799" w:type="dxa"/>
            <w:vAlign w:val="center"/>
          </w:tcPr>
          <w:p w14:paraId="4DB07FF8" w14:textId="5DC61B4A" w:rsidR="00370488" w:rsidRPr="007C6C48" w:rsidRDefault="00370488" w:rsidP="0033622B">
            <w:pPr>
              <w:ind w:firstLine="0"/>
              <w:jc w:val="center"/>
              <w:rPr>
                <w:rFonts w:ascii="Roboto" w:hAnsi="Roboto"/>
              </w:rPr>
            </w:pPr>
            <w:r w:rsidRPr="007C6C48">
              <w:rPr>
                <w:rFonts w:ascii="Roboto" w:hAnsi="Roboto"/>
              </w:rPr>
              <w:t>(S5)</w:t>
            </w:r>
          </w:p>
        </w:tc>
      </w:tr>
    </w:tbl>
    <w:p w14:paraId="2429FE6A" w14:textId="77777777" w:rsidR="00370488" w:rsidRPr="007C6C48" w:rsidRDefault="00370488" w:rsidP="00B45276">
      <w:pPr>
        <w:rPr>
          <w:rFonts w:ascii="Roboto" w:hAnsi="Roboto"/>
        </w:rPr>
      </w:pPr>
    </w:p>
    <w:p w14:paraId="49F0E187" w14:textId="77777777" w:rsidR="0016716F" w:rsidRPr="007C6C48" w:rsidRDefault="0016716F" w:rsidP="0016716F">
      <w:pPr>
        <w:pStyle w:val="Heading2"/>
        <w:rPr>
          <w:rFonts w:ascii="Roboto" w:hAnsi="Roboto"/>
        </w:rPr>
      </w:pPr>
      <w:bookmarkStart w:id="4" w:name="_Ref171587203"/>
      <w:r w:rsidRPr="007C6C48">
        <w:rPr>
          <w:rFonts w:ascii="Roboto" w:hAnsi="Roboto"/>
        </w:rPr>
        <w:t>Currently available parameterisations in VolFe</w:t>
      </w:r>
      <w:bookmarkEnd w:id="4"/>
    </w:p>
    <w:p w14:paraId="3908CF2F" w14:textId="6EB3E458" w:rsidR="0016716F" w:rsidRPr="007C6C48" w:rsidRDefault="0016716F" w:rsidP="0016716F">
      <w:pPr>
        <w:rPr>
          <w:rFonts w:ascii="Roboto" w:hAnsi="Roboto"/>
        </w:rPr>
      </w:pPr>
      <w:r w:rsidRPr="007C6C48">
        <w:rPr>
          <w:rFonts w:ascii="Roboto" w:hAnsi="Roboto"/>
        </w:rPr>
        <w:t>Experimental conditions (</w:t>
      </w:r>
      <w:r w:rsidRPr="007C6C48">
        <w:rPr>
          <w:rFonts w:ascii="Roboto" w:hAnsi="Roboto"/>
          <w:i/>
          <w:iCs/>
        </w:rPr>
        <w:t>P</w:t>
      </w:r>
      <w:r w:rsidRPr="007C6C48">
        <w:rPr>
          <w:rFonts w:ascii="Roboto" w:hAnsi="Roboto"/>
        </w:rPr>
        <w:t xml:space="preserve">, </w:t>
      </w:r>
      <w:r w:rsidRPr="007C6C48">
        <w:rPr>
          <w:rFonts w:ascii="Roboto" w:hAnsi="Roboto"/>
          <w:i/>
          <w:iCs/>
        </w:rPr>
        <w:t>T</w:t>
      </w:r>
      <w:r w:rsidRPr="007C6C48">
        <w:rPr>
          <w:rFonts w:ascii="Roboto" w:hAnsi="Roboto"/>
        </w:rPr>
        <w:t xml:space="preserve">, and melt composition) of the data used to calibrate the various </w:t>
      </w:r>
      <w:r w:rsidR="006A647B" w:rsidRPr="007C6C48">
        <w:rPr>
          <w:rFonts w:ascii="Roboto" w:hAnsi="Roboto"/>
        </w:rPr>
        <w:t xml:space="preserve">parameterisations of model dependent variables </w:t>
      </w:r>
      <w:r w:rsidRPr="007C6C48">
        <w:rPr>
          <w:rFonts w:ascii="Roboto" w:hAnsi="Roboto"/>
        </w:rPr>
        <w:t xml:space="preserve">are listed in </w:t>
      </w:r>
      <w:r w:rsidR="006A647B" w:rsidRPr="007C6C48">
        <w:rPr>
          <w:rFonts w:ascii="Roboto" w:hAnsi="Roboto"/>
        </w:rPr>
        <w:fldChar w:fldCharType="begin"/>
      </w:r>
      <w:r w:rsidR="006A647B" w:rsidRPr="007C6C48">
        <w:rPr>
          <w:rFonts w:ascii="Roboto" w:hAnsi="Roboto"/>
        </w:rPr>
        <w:instrText xml:space="preserve"> REF _Ref151998762 \h </w:instrText>
      </w:r>
      <w:r w:rsidR="006A647B" w:rsidRPr="007C6C48">
        <w:rPr>
          <w:rFonts w:ascii="Roboto" w:hAnsi="Roboto"/>
        </w:rPr>
      </w:r>
      <w:r w:rsidR="007C6C48">
        <w:rPr>
          <w:rFonts w:ascii="Roboto" w:hAnsi="Roboto"/>
        </w:rPr>
        <w:instrText xml:space="preserve"> \* MERGEFORMAT </w:instrText>
      </w:r>
      <w:r w:rsidR="006A647B" w:rsidRPr="007C6C48">
        <w:rPr>
          <w:rFonts w:ascii="Roboto" w:hAnsi="Roboto"/>
        </w:rPr>
        <w:fldChar w:fldCharType="separate"/>
      </w:r>
      <w:r w:rsidR="006A647B" w:rsidRPr="007C6C48">
        <w:rPr>
          <w:rFonts w:ascii="Roboto" w:hAnsi="Roboto"/>
        </w:rPr>
        <w:t>Table S</w:t>
      </w:r>
      <w:r w:rsidR="006A647B" w:rsidRPr="007C6C48">
        <w:rPr>
          <w:rFonts w:ascii="Roboto" w:hAnsi="Roboto"/>
          <w:noProof/>
        </w:rPr>
        <w:t>2</w:t>
      </w:r>
      <w:r w:rsidR="006A647B" w:rsidRPr="007C6C48">
        <w:rPr>
          <w:rFonts w:ascii="Roboto" w:hAnsi="Roboto"/>
        </w:rPr>
        <w:fldChar w:fldCharType="end"/>
      </w:r>
      <w:r w:rsidR="006A647B" w:rsidRPr="007C6C48">
        <w:rPr>
          <w:rFonts w:ascii="Roboto" w:hAnsi="Roboto"/>
        </w:rPr>
        <w:t xml:space="preserve"> </w:t>
      </w:r>
      <w:r w:rsidRPr="007C6C48">
        <w:rPr>
          <w:rFonts w:ascii="Roboto" w:hAnsi="Roboto"/>
        </w:rPr>
        <w:t xml:space="preserve">to </w:t>
      </w:r>
      <w:r w:rsidR="006A647B" w:rsidRPr="007C6C48">
        <w:rPr>
          <w:rFonts w:ascii="Roboto" w:hAnsi="Roboto"/>
        </w:rPr>
        <w:fldChar w:fldCharType="begin"/>
      </w:r>
      <w:r w:rsidR="006A647B" w:rsidRPr="007C6C48">
        <w:rPr>
          <w:rFonts w:ascii="Roboto" w:hAnsi="Roboto"/>
        </w:rPr>
        <w:instrText xml:space="preserve"> REF _Ref152014283 \h </w:instrText>
      </w:r>
      <w:r w:rsidR="006A647B" w:rsidRPr="007C6C48">
        <w:rPr>
          <w:rFonts w:ascii="Roboto" w:hAnsi="Roboto"/>
        </w:rPr>
      </w:r>
      <w:r w:rsidR="007C6C48">
        <w:rPr>
          <w:rFonts w:ascii="Roboto" w:hAnsi="Roboto"/>
        </w:rPr>
        <w:instrText xml:space="preserve"> \* MERGEFORMAT </w:instrText>
      </w:r>
      <w:r w:rsidR="006A647B" w:rsidRPr="007C6C48">
        <w:rPr>
          <w:rFonts w:ascii="Roboto" w:hAnsi="Roboto"/>
        </w:rPr>
        <w:fldChar w:fldCharType="separate"/>
      </w:r>
      <w:r w:rsidR="006A647B" w:rsidRPr="007C6C48">
        <w:rPr>
          <w:rFonts w:ascii="Roboto" w:hAnsi="Roboto"/>
        </w:rPr>
        <w:t>Table S</w:t>
      </w:r>
      <w:r w:rsidR="006A647B" w:rsidRPr="007C6C48">
        <w:rPr>
          <w:rFonts w:ascii="Roboto" w:hAnsi="Roboto"/>
          <w:noProof/>
        </w:rPr>
        <w:t>10</w:t>
      </w:r>
      <w:r w:rsidR="006A647B" w:rsidRPr="007C6C48">
        <w:rPr>
          <w:rFonts w:ascii="Roboto" w:hAnsi="Roboto"/>
        </w:rPr>
        <w:fldChar w:fldCharType="end"/>
      </w:r>
      <w:r w:rsidR="006A647B" w:rsidRPr="007C6C48">
        <w:rPr>
          <w:rFonts w:ascii="Roboto" w:hAnsi="Roboto"/>
        </w:rPr>
        <w:t xml:space="preserve"> </w:t>
      </w:r>
      <w:r w:rsidRPr="007C6C48">
        <w:rPr>
          <w:rFonts w:ascii="Roboto" w:hAnsi="Roboto"/>
        </w:rPr>
        <w:t>as an indication of the range of conditions they might be appropriate for.</w:t>
      </w:r>
      <w:r w:rsidR="00370488" w:rsidRPr="007C6C48">
        <w:rPr>
          <w:rFonts w:ascii="Roboto" w:hAnsi="Roboto"/>
        </w:rPr>
        <w:t xml:space="preserve"> Also indicated is whether the parameterisation could be independently benchmarked, with </w:t>
      </w:r>
      <w:r w:rsidR="001A1A9B" w:rsidRPr="007C6C48">
        <w:rPr>
          <w:rFonts w:ascii="Roboto" w:hAnsi="Roboto"/>
        </w:rPr>
        <w:t xml:space="preserve">worked calculations for the </w:t>
      </w:r>
      <w:r w:rsidR="00370488" w:rsidRPr="007C6C48">
        <w:rPr>
          <w:rFonts w:ascii="Roboto" w:hAnsi="Roboto"/>
        </w:rPr>
        <w:t xml:space="preserve">benchmarking </w:t>
      </w:r>
      <w:r w:rsidR="001A1A9B" w:rsidRPr="007C6C48">
        <w:rPr>
          <w:rFonts w:ascii="Roboto" w:hAnsi="Roboto"/>
        </w:rPr>
        <w:t>exercise</w:t>
      </w:r>
      <w:r w:rsidR="00370488" w:rsidRPr="007C6C48">
        <w:rPr>
          <w:rFonts w:ascii="Roboto" w:hAnsi="Roboto"/>
        </w:rPr>
        <w:t xml:space="preserve"> provided</w:t>
      </w:r>
      <w:r w:rsidR="00F67E55" w:rsidRPr="007C6C48">
        <w:rPr>
          <w:rFonts w:ascii="Roboto" w:hAnsi="Roboto"/>
        </w:rPr>
        <w:t xml:space="preserve"> as Jupyter Notebooks</w:t>
      </w:r>
      <w:r w:rsidR="00370488" w:rsidRPr="007C6C48">
        <w:rPr>
          <w:rFonts w:ascii="Roboto" w:hAnsi="Roboto"/>
        </w:rPr>
        <w:t xml:space="preserve"> in the GitHub</w:t>
      </w:r>
      <w:r w:rsidR="005F59D0" w:rsidRPr="007C6C48">
        <w:rPr>
          <w:rFonts w:ascii="Roboto" w:hAnsi="Roboto"/>
        </w:rPr>
        <w:t xml:space="preserve"> </w:t>
      </w:r>
      <w:r w:rsidR="001A1A9B" w:rsidRPr="007C6C48">
        <w:rPr>
          <w:rFonts w:ascii="Roboto" w:hAnsi="Roboto"/>
        </w:rPr>
        <w:t>and</w:t>
      </w:r>
      <w:r w:rsidR="005F59D0" w:rsidRPr="007C6C48">
        <w:rPr>
          <w:rFonts w:ascii="Roboto" w:hAnsi="Roboto"/>
        </w:rPr>
        <w:t xml:space="preserve"> ReadTheDocs</w:t>
      </w:r>
      <w:r w:rsidR="00370488" w:rsidRPr="007C6C48">
        <w:rPr>
          <w:rFonts w:ascii="Roboto" w:hAnsi="Roboto"/>
        </w:rPr>
        <w:t>.</w:t>
      </w:r>
    </w:p>
    <w:p w14:paraId="2201216E" w14:textId="77777777" w:rsidR="0016716F" w:rsidRPr="007C6C48" w:rsidRDefault="0016716F" w:rsidP="0016716F">
      <w:pPr>
        <w:rPr>
          <w:rFonts w:ascii="Roboto" w:hAnsi="Roboto"/>
          <w:highlight w:val="yellow"/>
        </w:rPr>
      </w:pPr>
    </w:p>
    <w:p w14:paraId="206C4D42" w14:textId="12A96223" w:rsidR="0016716F" w:rsidRPr="007C6C48" w:rsidRDefault="0016716F" w:rsidP="0016716F">
      <w:pPr>
        <w:pStyle w:val="NoSpacing"/>
        <w:spacing w:after="0"/>
        <w:rPr>
          <w:rFonts w:ascii="Roboto" w:hAnsi="Roboto"/>
        </w:rPr>
      </w:pPr>
      <w:bookmarkStart w:id="5" w:name="_Ref151980361"/>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1</w:t>
      </w:r>
      <w:r w:rsidR="006A647B" w:rsidRPr="007C6C48">
        <w:rPr>
          <w:rFonts w:ascii="Roboto" w:hAnsi="Roboto"/>
          <w:noProof/>
        </w:rPr>
        <w:fldChar w:fldCharType="end"/>
      </w:r>
      <w:bookmarkEnd w:id="5"/>
      <w:r w:rsidRPr="007C6C48">
        <w:rPr>
          <w:rFonts w:ascii="Roboto" w:hAnsi="Roboto"/>
        </w:rPr>
        <w:t>. Equilibrium constants for homogeneous vapor equilibria in Table 1 of the main text.</w:t>
      </w:r>
    </w:p>
    <w:tbl>
      <w:tblPr>
        <w:tblStyle w:val="TableGrid"/>
        <w:tblW w:w="0" w:type="auto"/>
        <w:tblLook w:val="04A0" w:firstRow="1" w:lastRow="0" w:firstColumn="1" w:lastColumn="0" w:noHBand="0" w:noVBand="1"/>
      </w:tblPr>
      <w:tblGrid>
        <w:gridCol w:w="1413"/>
        <w:gridCol w:w="2977"/>
        <w:gridCol w:w="4626"/>
      </w:tblGrid>
      <w:tr w:rsidR="00BC43CC" w:rsidRPr="007C6C48" w14:paraId="7FE2D2AC" w14:textId="77777777" w:rsidTr="00841EAD">
        <w:tc>
          <w:tcPr>
            <w:tcW w:w="1413" w:type="dxa"/>
            <w:tcBorders>
              <w:top w:val="single" w:sz="8" w:space="0" w:color="auto"/>
              <w:bottom w:val="single" w:sz="8" w:space="0" w:color="auto"/>
            </w:tcBorders>
            <w:vAlign w:val="center"/>
          </w:tcPr>
          <w:p w14:paraId="75DC9DB6" w14:textId="77777777" w:rsidR="00BC43CC" w:rsidRPr="007C6C48" w:rsidRDefault="00BC43CC" w:rsidP="00B45276">
            <w:pPr>
              <w:pStyle w:val="NoSpacing"/>
              <w:spacing w:after="0"/>
              <w:jc w:val="center"/>
              <w:rPr>
                <w:rFonts w:ascii="Roboto" w:hAnsi="Roboto"/>
              </w:rPr>
            </w:pPr>
            <w:r w:rsidRPr="007C6C48">
              <w:rPr>
                <w:rFonts w:ascii="Roboto" w:hAnsi="Roboto"/>
              </w:rPr>
              <w:t>Equilibrium constant</w:t>
            </w:r>
          </w:p>
        </w:tc>
        <w:tc>
          <w:tcPr>
            <w:tcW w:w="2977" w:type="dxa"/>
            <w:tcBorders>
              <w:top w:val="single" w:sz="8" w:space="0" w:color="auto"/>
              <w:bottom w:val="single" w:sz="8" w:space="0" w:color="auto"/>
            </w:tcBorders>
            <w:vAlign w:val="center"/>
          </w:tcPr>
          <w:p w14:paraId="3476A412" w14:textId="68BCA0CA" w:rsidR="00BC43CC" w:rsidRPr="007C6C48" w:rsidRDefault="00BC43CC" w:rsidP="00B45276">
            <w:pPr>
              <w:pStyle w:val="NoSpacing"/>
              <w:spacing w:after="0"/>
              <w:jc w:val="center"/>
              <w:rPr>
                <w:rFonts w:ascii="Roboto" w:hAnsi="Roboto"/>
              </w:rPr>
            </w:pPr>
            <w:r w:rsidRPr="007C6C48">
              <w:rPr>
                <w:rFonts w:ascii="Roboto" w:hAnsi="Roboto"/>
              </w:rPr>
              <w:t>Benchmark</w:t>
            </w:r>
          </w:p>
        </w:tc>
        <w:tc>
          <w:tcPr>
            <w:tcW w:w="4626" w:type="dxa"/>
            <w:tcBorders>
              <w:top w:val="single" w:sz="8" w:space="0" w:color="auto"/>
              <w:bottom w:val="single" w:sz="8" w:space="0" w:color="auto"/>
            </w:tcBorders>
            <w:vAlign w:val="center"/>
          </w:tcPr>
          <w:p w14:paraId="2B9B4CEC" w14:textId="5AA62F6F" w:rsidR="00BC43CC" w:rsidRPr="007C6C48" w:rsidRDefault="00BC43CC" w:rsidP="00B45276">
            <w:pPr>
              <w:pStyle w:val="NoSpacing"/>
              <w:spacing w:after="0"/>
              <w:jc w:val="center"/>
              <w:rPr>
                <w:rFonts w:ascii="Roboto" w:hAnsi="Roboto"/>
              </w:rPr>
            </w:pPr>
            <w:r w:rsidRPr="007C6C48">
              <w:rPr>
                <w:rFonts w:ascii="Roboto" w:hAnsi="Roboto"/>
              </w:rPr>
              <w:t>Reference</w:t>
            </w:r>
          </w:p>
        </w:tc>
      </w:tr>
      <w:tr w:rsidR="00BC43CC" w:rsidRPr="007C6C48" w14:paraId="298132C8" w14:textId="77777777" w:rsidTr="00841EAD">
        <w:tc>
          <w:tcPr>
            <w:tcW w:w="1413" w:type="dxa"/>
            <w:tcBorders>
              <w:top w:val="single" w:sz="8" w:space="0" w:color="auto"/>
            </w:tcBorders>
          </w:tcPr>
          <w:p w14:paraId="3BB901A0"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H</w:t>
            </w:r>
          </w:p>
        </w:tc>
        <w:tc>
          <w:tcPr>
            <w:tcW w:w="2977" w:type="dxa"/>
            <w:tcBorders>
              <w:top w:val="single" w:sz="8" w:space="0" w:color="auto"/>
            </w:tcBorders>
          </w:tcPr>
          <w:p w14:paraId="5FB05E58" w14:textId="62374619" w:rsidR="00BC43CC" w:rsidRPr="007C6C48" w:rsidRDefault="005F59D0" w:rsidP="00B061FC">
            <w:pPr>
              <w:pStyle w:val="NoSpacing"/>
              <w:spacing w:after="0"/>
              <w:rPr>
                <w:rFonts w:ascii="Roboto" w:hAnsi="Roboto"/>
              </w:rPr>
            </w:pPr>
            <w:r w:rsidRPr="007C6C48">
              <w:rPr>
                <w:rFonts w:ascii="Roboto" w:hAnsi="Roboto"/>
              </w:rPr>
              <w:t>-</w:t>
            </w:r>
          </w:p>
        </w:tc>
        <w:tc>
          <w:tcPr>
            <w:tcW w:w="4626" w:type="dxa"/>
            <w:tcBorders>
              <w:top w:val="single" w:sz="8" w:space="0" w:color="auto"/>
            </w:tcBorders>
          </w:tcPr>
          <w:p w14:paraId="43803BC1" w14:textId="46810BD9" w:rsidR="00BC43CC" w:rsidRPr="007C6C48" w:rsidRDefault="00BC43CC" w:rsidP="00B061FC">
            <w:pPr>
              <w:pStyle w:val="NoSpacing"/>
              <w:spacing w:after="0"/>
              <w:rPr>
                <w:rFonts w:ascii="Roboto" w:hAnsi="Roboto"/>
              </w:rPr>
            </w:pPr>
            <w:r w:rsidRPr="007C6C48">
              <w:rPr>
                <w:rFonts w:ascii="Roboto" w:hAnsi="Roboto"/>
              </w:rPr>
              <w:t xml:space="preserve">Reaction (d) in Table 1 of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r w:rsidRPr="007C6C48">
              <w:rPr>
                <w:rFonts w:ascii="Roboto" w:hAnsi="Roboto"/>
                <w:color w:val="4472C4" w:themeColor="accent1"/>
              </w:rPr>
              <w:t xml:space="preserve"> </w:t>
            </w:r>
          </w:p>
        </w:tc>
      </w:tr>
      <w:tr w:rsidR="00BC43CC" w:rsidRPr="007C6C48" w14:paraId="4C88CE7C" w14:textId="77777777" w:rsidTr="00841EAD">
        <w:tc>
          <w:tcPr>
            <w:tcW w:w="1413" w:type="dxa"/>
          </w:tcPr>
          <w:p w14:paraId="5C85EA10"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C</w:t>
            </w:r>
          </w:p>
        </w:tc>
        <w:tc>
          <w:tcPr>
            <w:tcW w:w="2977" w:type="dxa"/>
          </w:tcPr>
          <w:p w14:paraId="4C43CDF0" w14:textId="10B1A447" w:rsidR="00BC43CC" w:rsidRPr="007C6C48" w:rsidRDefault="005F59D0" w:rsidP="00B061FC">
            <w:pPr>
              <w:pStyle w:val="NoSpacing"/>
              <w:spacing w:after="0"/>
              <w:rPr>
                <w:rFonts w:ascii="Roboto" w:hAnsi="Roboto"/>
              </w:rPr>
            </w:pPr>
            <w:r w:rsidRPr="007C6C48">
              <w:rPr>
                <w:rFonts w:ascii="Roboto" w:hAnsi="Roboto"/>
              </w:rPr>
              <w:t>-</w:t>
            </w:r>
          </w:p>
        </w:tc>
        <w:tc>
          <w:tcPr>
            <w:tcW w:w="4626" w:type="dxa"/>
          </w:tcPr>
          <w:p w14:paraId="187145A0" w14:textId="0C203FFF" w:rsidR="00BC43CC" w:rsidRPr="007C6C48" w:rsidRDefault="00BC43CC" w:rsidP="00B061FC">
            <w:pPr>
              <w:pStyle w:val="NoSpacing"/>
              <w:spacing w:after="0"/>
              <w:rPr>
                <w:rFonts w:ascii="Roboto" w:hAnsi="Roboto"/>
              </w:rPr>
            </w:pPr>
            <w:r w:rsidRPr="007C6C48">
              <w:rPr>
                <w:rFonts w:ascii="Roboto" w:hAnsi="Roboto"/>
              </w:rPr>
              <w:t>Reaction (c)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BC43CC" w:rsidRPr="007C6C48" w14:paraId="35E1AF98" w14:textId="77777777" w:rsidTr="00841EAD">
        <w:tc>
          <w:tcPr>
            <w:tcW w:w="1413" w:type="dxa"/>
          </w:tcPr>
          <w:p w14:paraId="37665033"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S</w:t>
            </w:r>
          </w:p>
        </w:tc>
        <w:tc>
          <w:tcPr>
            <w:tcW w:w="2977" w:type="dxa"/>
          </w:tcPr>
          <w:p w14:paraId="1C288E71" w14:textId="63DC5602" w:rsidR="00BC43CC" w:rsidRPr="007C6C48" w:rsidRDefault="005F59D0" w:rsidP="00B061FC">
            <w:pPr>
              <w:pStyle w:val="NoSpacing"/>
              <w:spacing w:after="0"/>
              <w:rPr>
                <w:rFonts w:ascii="Roboto" w:hAnsi="Roboto"/>
              </w:rPr>
            </w:pPr>
            <w:r w:rsidRPr="007C6C48">
              <w:rPr>
                <w:rFonts w:ascii="Roboto" w:hAnsi="Roboto"/>
              </w:rPr>
              <w:t>-</w:t>
            </w:r>
          </w:p>
        </w:tc>
        <w:tc>
          <w:tcPr>
            <w:tcW w:w="4626" w:type="dxa"/>
          </w:tcPr>
          <w:p w14:paraId="6B1F969B" w14:textId="604041C8" w:rsidR="00BC43CC" w:rsidRPr="007C6C48" w:rsidRDefault="00BC43CC" w:rsidP="00B061FC">
            <w:pPr>
              <w:pStyle w:val="NoSpacing"/>
              <w:spacing w:after="0"/>
              <w:rPr>
                <w:rFonts w:ascii="Roboto" w:hAnsi="Roboto"/>
              </w:rPr>
            </w:pPr>
            <w:r w:rsidRPr="007C6C48">
              <w:rPr>
                <w:rFonts w:ascii="Roboto" w:hAnsi="Roboto"/>
              </w:rPr>
              <w:t>Reaction (f)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BC43CC" w:rsidRPr="007C6C48" w14:paraId="6B3BE607" w14:textId="77777777" w:rsidTr="00841EAD">
        <w:tc>
          <w:tcPr>
            <w:tcW w:w="1413" w:type="dxa"/>
          </w:tcPr>
          <w:p w14:paraId="2E1A3AA7"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CH</w:t>
            </w:r>
          </w:p>
        </w:tc>
        <w:tc>
          <w:tcPr>
            <w:tcW w:w="2977" w:type="dxa"/>
          </w:tcPr>
          <w:p w14:paraId="5E3EAF6E" w14:textId="26456467" w:rsidR="00BC43CC" w:rsidRPr="007C6C48" w:rsidRDefault="005F59D0" w:rsidP="00B061FC">
            <w:pPr>
              <w:pStyle w:val="NoSpacing"/>
              <w:spacing w:after="0"/>
              <w:rPr>
                <w:rFonts w:ascii="Roboto" w:hAnsi="Roboto"/>
              </w:rPr>
            </w:pPr>
            <w:r w:rsidRPr="007C6C48">
              <w:rPr>
                <w:rFonts w:ascii="Roboto" w:hAnsi="Roboto"/>
              </w:rPr>
              <w:t>-</w:t>
            </w:r>
          </w:p>
        </w:tc>
        <w:tc>
          <w:tcPr>
            <w:tcW w:w="4626" w:type="dxa"/>
          </w:tcPr>
          <w:p w14:paraId="3F48E9BE" w14:textId="5AED5765" w:rsidR="00BC43CC" w:rsidRPr="007C6C48" w:rsidRDefault="00BC43CC" w:rsidP="00B061FC">
            <w:pPr>
              <w:pStyle w:val="NoSpacing"/>
              <w:spacing w:after="0"/>
              <w:rPr>
                <w:rFonts w:ascii="Roboto" w:hAnsi="Roboto"/>
              </w:rPr>
            </w:pPr>
            <w:r w:rsidRPr="007C6C48">
              <w:rPr>
                <w:rFonts w:ascii="Roboto" w:hAnsi="Roboto"/>
              </w:rPr>
              <w:t>Reaction (e)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BC43CC" w:rsidRPr="007C6C48" w14:paraId="5E322ABB" w14:textId="77777777" w:rsidTr="00841EAD">
        <w:tc>
          <w:tcPr>
            <w:tcW w:w="1413" w:type="dxa"/>
          </w:tcPr>
          <w:p w14:paraId="73F489BC"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HS</w:t>
            </w:r>
          </w:p>
        </w:tc>
        <w:tc>
          <w:tcPr>
            <w:tcW w:w="2977" w:type="dxa"/>
          </w:tcPr>
          <w:p w14:paraId="2B0EE1C7" w14:textId="094A6964" w:rsidR="00BC43CC" w:rsidRPr="007C6C48" w:rsidRDefault="005F59D0" w:rsidP="00B061FC">
            <w:pPr>
              <w:pStyle w:val="NoSpacing"/>
              <w:spacing w:after="0"/>
              <w:rPr>
                <w:rFonts w:ascii="Roboto" w:hAnsi="Roboto"/>
              </w:rPr>
            </w:pPr>
            <w:r w:rsidRPr="007C6C48">
              <w:rPr>
                <w:rFonts w:ascii="Roboto" w:hAnsi="Roboto"/>
              </w:rPr>
              <w:t>-</w:t>
            </w:r>
          </w:p>
        </w:tc>
        <w:tc>
          <w:tcPr>
            <w:tcW w:w="4626" w:type="dxa"/>
          </w:tcPr>
          <w:p w14:paraId="0754E06B" w14:textId="25DD04D3" w:rsidR="00BC43CC" w:rsidRPr="007C6C48" w:rsidRDefault="00BC43CC" w:rsidP="00B061FC">
            <w:pPr>
              <w:pStyle w:val="NoSpacing"/>
              <w:spacing w:after="0"/>
              <w:rPr>
                <w:rFonts w:ascii="Roboto" w:hAnsi="Roboto"/>
              </w:rPr>
            </w:pPr>
            <w:r w:rsidRPr="007C6C48">
              <w:rPr>
                <w:rFonts w:ascii="Roboto" w:hAnsi="Roboto"/>
              </w:rPr>
              <w:t>Reaction (h)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BC43CC" w:rsidRPr="007C6C48" w14:paraId="55E47845" w14:textId="77777777" w:rsidTr="00841EAD">
        <w:tc>
          <w:tcPr>
            <w:tcW w:w="1413" w:type="dxa"/>
          </w:tcPr>
          <w:p w14:paraId="459E3B2C" w14:textId="77777777" w:rsidR="00BC43CC" w:rsidRPr="007C6C48" w:rsidRDefault="00BC43CC" w:rsidP="00B061FC">
            <w:pPr>
              <w:pStyle w:val="NoSpacing"/>
              <w:spacing w:after="0"/>
              <w:rPr>
                <w:rFonts w:ascii="Roboto" w:hAnsi="Roboto"/>
              </w:rPr>
            </w:pPr>
            <w:r w:rsidRPr="007C6C48">
              <w:rPr>
                <w:rFonts w:ascii="Roboto" w:hAnsi="Roboto"/>
                <w:i/>
                <w:iCs/>
              </w:rPr>
              <w:t>K</w:t>
            </w:r>
            <w:r w:rsidRPr="007C6C48">
              <w:rPr>
                <w:rFonts w:ascii="Roboto" w:hAnsi="Roboto"/>
                <w:vertAlign w:val="subscript"/>
              </w:rPr>
              <w:t>SC</w:t>
            </w:r>
          </w:p>
        </w:tc>
        <w:tc>
          <w:tcPr>
            <w:tcW w:w="2977" w:type="dxa"/>
          </w:tcPr>
          <w:p w14:paraId="77D21B70" w14:textId="542A1E4B" w:rsidR="00BC43CC" w:rsidRPr="007C6C48" w:rsidRDefault="00BC43CC" w:rsidP="00B061FC">
            <w:pPr>
              <w:pStyle w:val="NoSpacing"/>
              <w:spacing w:after="0"/>
              <w:rPr>
                <w:rFonts w:ascii="Roboto" w:hAnsi="Roboto"/>
              </w:rPr>
            </w:pPr>
            <w:r w:rsidRPr="007C6C48">
              <w:rPr>
                <w:rFonts w:ascii="Roboto" w:hAnsi="Roboto"/>
              </w:rPr>
              <w:t>Calculation in their text</w:t>
            </w:r>
          </w:p>
        </w:tc>
        <w:tc>
          <w:tcPr>
            <w:tcW w:w="4626" w:type="dxa"/>
          </w:tcPr>
          <w:p w14:paraId="6250EEC2" w14:textId="74F861F0" w:rsidR="00BC43CC" w:rsidRPr="007C6C48" w:rsidRDefault="00BC43CC" w:rsidP="00B061FC">
            <w:pPr>
              <w:pStyle w:val="NoSpacing"/>
              <w:spacing w:after="0"/>
              <w:rPr>
                <w:rFonts w:ascii="Roboto" w:hAnsi="Roboto"/>
              </w:rPr>
            </w:pPr>
            <w:r w:rsidRPr="007C6C48">
              <w:rPr>
                <w:rFonts w:ascii="Roboto" w:hAnsi="Roboto"/>
                <w:lang w:val="fr-FR"/>
              </w:rPr>
              <w:t xml:space="preserve">Eq. (8) in </w:t>
            </w:r>
            <w:r w:rsidRPr="007C6C48">
              <w:rPr>
                <w:rFonts w:ascii="Roboto" w:hAnsi="Roboto"/>
              </w:rPr>
              <w:fldChar w:fldCharType="begin" w:fldLock="1"/>
            </w:r>
            <w:r w:rsidRPr="007C6C48">
              <w:rPr>
                <w:rFonts w:ascii="Roboto" w:hAnsi="Roboto"/>
                <w:lang w:val="fr-FR"/>
              </w:rPr>
              <w:instrText>ADDIN CSL_CITATION {"citationItems":[{"id":"ITEM-1","itemData":{"DOI":"10.1016/J.EPSL.2019.05.036","ISSN":"0012-821X","abstract":"The oxidation state of volcanic gas emissions influences the composition of the exosphere and planetary habitability. It is widely considered to be associated with the oxidation state of the melt from which volatiles exsolve. Here, we present a global synthesis of volcanic gas measurements. We define the mean oxidation state of volcanic gas emissions on Earth today and show that, globally, gas oxidation state, relative to rock buffers, is a strong function of emission temperature, increasing by several orders of magnitude as temperature decreases. The trend is independent of melt composition and geodynamic setting. This observation may explain why the mean oxidation state of volcanic gas emissions on Earth has apparently increased since the Archean, without a corresponding shift in melt oxidation state. We argue that progressive cooling of the mantle and the cessation of komatiite generation should have been accompanied by a substantial increase of the oxidation state of volcanic gases around the onset of the Great Oxidation Event. This may have accelerated or facilitated the transition to an oxygen-rich atmosphere. Overall, our data, along with previous work, show that there are no single nor simple relationships between mantle-, magma- and volcanic gas-redox states.","author":[{"dropping-particle":"","family":"Moussallam","given":"Yves","non-dropping-particle":"","parse-names":false,"suffix":""},{"dropping-particle":"","family":"Oppenheimer","given":"Clive","non-dropping-particle":"","parse-names":false,"suffix":""},{"dropping-particle":"","family":"Scaillet","given":"Bruno","non-dropping-particle":"","parse-names":false,"suffix":""}],"container-title":"Earth and Planetary Science Letters","id":"ITEM-1","issued":{"date-parts":[["2019","8","15"]]},"page":"260-267","publisher":"Elsevier","title":"On the relationship between oxidation state and temperature of volcanic gas emissions","type":"article-journal","volume":"520"},"uris":["http://www.mendeley.com/documents/?uuid=7dc6690e-fa67-3cef-9f52-cb87fca63442"]}],"mendeley":{"formattedCitation":"(Moussallam et al., 2019)","manualFormatting":"Moussallam et al. (2019)","plainTextFormattedCitation":"(Moussallam et al., 2019)","previouslyFormattedCitation":"(Moussallam et al., 2019)"},"properties":{"noteIndex":0},"schema":"https://github.com/citation-style-language/schema/raw/master/csl-citation.json"}</w:instrText>
            </w:r>
            <w:r w:rsidRPr="007C6C48">
              <w:rPr>
                <w:rFonts w:ascii="Roboto" w:hAnsi="Roboto"/>
              </w:rPr>
              <w:fldChar w:fldCharType="separate"/>
            </w:r>
            <w:r w:rsidRPr="007C6C48">
              <w:rPr>
                <w:rFonts w:ascii="Roboto" w:hAnsi="Roboto"/>
                <w:noProof/>
                <w:lang w:val="fr-FR"/>
              </w:rPr>
              <w:t xml:space="preserve">Moussallam et al. </w:t>
            </w:r>
            <w:r w:rsidRPr="007C6C48">
              <w:rPr>
                <w:rFonts w:ascii="Roboto" w:hAnsi="Roboto"/>
                <w:noProof/>
              </w:rPr>
              <w:t>(2019)</w:t>
            </w:r>
            <w:r w:rsidRPr="007C6C48">
              <w:rPr>
                <w:rFonts w:ascii="Roboto" w:hAnsi="Roboto"/>
              </w:rPr>
              <w:fldChar w:fldCharType="end"/>
            </w:r>
            <w:r w:rsidRPr="007C6C48">
              <w:rPr>
                <w:rFonts w:ascii="Roboto" w:hAnsi="Roboto"/>
              </w:rPr>
              <w:t xml:space="preserve"> </w:t>
            </w:r>
          </w:p>
        </w:tc>
      </w:tr>
      <w:tr w:rsidR="00BC43CC" w:rsidRPr="007C6C48" w14:paraId="0B8D3A99" w14:textId="77777777" w:rsidTr="00841EAD">
        <w:tc>
          <w:tcPr>
            <w:tcW w:w="1413" w:type="dxa"/>
            <w:tcBorders>
              <w:bottom w:val="single" w:sz="8" w:space="0" w:color="auto"/>
            </w:tcBorders>
          </w:tcPr>
          <w:p w14:paraId="38E6C935" w14:textId="77777777" w:rsidR="00BC43CC" w:rsidRPr="007C6C48" w:rsidRDefault="00BC43CC" w:rsidP="00B061FC">
            <w:pPr>
              <w:pStyle w:val="NoSpacing"/>
              <w:spacing w:after="0"/>
              <w:rPr>
                <w:rFonts w:ascii="Roboto" w:hAnsi="Roboto"/>
                <w:i/>
                <w:iCs/>
              </w:rPr>
            </w:pPr>
            <w:r w:rsidRPr="007C6C48">
              <w:rPr>
                <w:rFonts w:ascii="Roboto" w:hAnsi="Roboto"/>
                <w:i/>
                <w:iCs/>
              </w:rPr>
              <w:t>K</w:t>
            </w:r>
            <w:r w:rsidRPr="007C6C48">
              <w:rPr>
                <w:rFonts w:ascii="Roboto" w:hAnsi="Roboto"/>
                <w:vertAlign w:val="subscript"/>
              </w:rPr>
              <w:t>S2</w:t>
            </w:r>
            <w:r w:rsidRPr="007C6C48">
              <w:rPr>
                <w:rFonts w:ascii="Roboto" w:hAnsi="Roboto"/>
                <w:vertAlign w:val="superscript"/>
              </w:rPr>
              <w:t>*</w:t>
            </w:r>
          </w:p>
        </w:tc>
        <w:tc>
          <w:tcPr>
            <w:tcW w:w="2977" w:type="dxa"/>
            <w:tcBorders>
              <w:bottom w:val="single" w:sz="8" w:space="0" w:color="auto"/>
            </w:tcBorders>
          </w:tcPr>
          <w:p w14:paraId="3397859E" w14:textId="001BA768" w:rsidR="00BC43CC" w:rsidRPr="007C6C48" w:rsidRDefault="00073889" w:rsidP="00B061FC">
            <w:pPr>
              <w:pStyle w:val="NoSpacing"/>
              <w:spacing w:after="0"/>
              <w:rPr>
                <w:rFonts w:ascii="Roboto" w:hAnsi="Roboto"/>
              </w:rPr>
            </w:pPr>
            <w:r w:rsidRPr="007C6C48">
              <w:rPr>
                <w:rFonts w:ascii="Roboto" w:hAnsi="Roboto"/>
                <w:color w:val="000000" w:themeColor="text1"/>
              </w:rPr>
              <w:t>Supplementary spreadsheet</w:t>
            </w:r>
          </w:p>
        </w:tc>
        <w:tc>
          <w:tcPr>
            <w:tcW w:w="4626" w:type="dxa"/>
            <w:tcBorders>
              <w:bottom w:val="single" w:sz="8" w:space="0" w:color="auto"/>
            </w:tcBorders>
          </w:tcPr>
          <w:p w14:paraId="08C1BD71" w14:textId="54468ACD" w:rsidR="00BC43CC" w:rsidRPr="007C6C48" w:rsidRDefault="00BC43CC" w:rsidP="00B061FC">
            <w:pPr>
              <w:pStyle w:val="NoSpacing"/>
              <w:spacing w:after="0"/>
              <w:rPr>
                <w:rFonts w:ascii="Roboto" w:hAnsi="Roboto"/>
              </w:rPr>
            </w:pPr>
            <w:r w:rsidRPr="007C6C48">
              <w:rPr>
                <w:rFonts w:ascii="Roboto" w:hAnsi="Roboto"/>
              </w:rPr>
              <w:t>Eq</w:t>
            </w:r>
            <w:r w:rsidR="00370488" w:rsidRPr="007C6C48">
              <w:rPr>
                <w:rFonts w:ascii="Roboto" w:hAnsi="Roboto"/>
              </w:rPr>
              <w:t>.</w:t>
            </w:r>
            <w:r w:rsidRPr="007C6C48">
              <w:rPr>
                <w:rFonts w:ascii="Roboto" w:hAnsi="Roboto"/>
              </w:rPr>
              <w:t xml:space="preserve"> (6b) in </w:t>
            </w:r>
            <w:r w:rsidRPr="007C6C48">
              <w:rPr>
                <w:rFonts w:ascii="Roboto" w:hAnsi="Roboto"/>
              </w:rPr>
              <w:fldChar w:fldCharType="begin" w:fldLock="1"/>
            </w:r>
            <w:r w:rsidRPr="007C6C48">
              <w:rPr>
                <w:rFonts w:ascii="Roboto" w:hAnsi="Roboto"/>
              </w:rPr>
              <w:instrText>ADDIN CSL_CITATION {"citationItems":[{"id":"ITEM-1","itemData":{"DOI":"10.1016/J.GCA.2022.06.020","ISSN":"0016-7037","author":[{"dropping-particle":"","family":"O'Neill","given":"Hugh St. C.","non-dropping-particle":"","parse-names":false,"suffix":""},{"dropping-particle":"","family":"Mavrogenes","given":"John A.","non-dropping-particle":"","parse-names":false,"suffix":""}],"container-title":"Geochimica et Cosmochimica Acta","id":"ITEM-1","issued":{"date-parts":[["2022","6","27"]]},"publisher":"Pergamon","title":"The sulfate capacities of silicate melts","type":"article-journal"},"uris":["http://www.mendeley.com/documents/?uuid=28383afe-41b6-312f-a795-212a394fed74"]}],"mendeley":{"formattedCitation":"(O’Neill and Mavrogenes, 2022)","manualFormatting":"O’Neill and Mavrogenes (2022)","plainTextFormattedCitation":"(O’Neill and Mavrogenes, 2022)","previouslyFormattedCitation":"(O’Neill and Mavrogenes,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O’Neill and Mavrogenes (2022)</w:t>
            </w:r>
            <w:r w:rsidRPr="007C6C48">
              <w:rPr>
                <w:rFonts w:ascii="Roboto" w:hAnsi="Roboto"/>
              </w:rPr>
              <w:fldChar w:fldCharType="end"/>
            </w:r>
            <w:r w:rsidRPr="007C6C48">
              <w:rPr>
                <w:rFonts w:ascii="Roboto" w:hAnsi="Roboto"/>
              </w:rPr>
              <w:t xml:space="preserve"> </w:t>
            </w:r>
          </w:p>
        </w:tc>
      </w:tr>
    </w:tbl>
    <w:p w14:paraId="440DA8F1" w14:textId="77777777" w:rsidR="0016716F" w:rsidRPr="007C6C48" w:rsidRDefault="0016716F" w:rsidP="0016716F">
      <w:pPr>
        <w:pStyle w:val="NoSpacing"/>
        <w:rPr>
          <w:rFonts w:ascii="Roboto" w:hAnsi="Roboto"/>
          <w:sz w:val="20"/>
          <w:szCs w:val="20"/>
        </w:rPr>
      </w:pPr>
      <w:r w:rsidRPr="007C6C48">
        <w:rPr>
          <w:rFonts w:ascii="Roboto" w:hAnsi="Roboto"/>
          <w:i/>
          <w:iCs/>
          <w:sz w:val="20"/>
          <w:szCs w:val="20"/>
        </w:rPr>
        <w:t>Note:</w:t>
      </w:r>
      <w:r w:rsidRPr="007C6C48">
        <w:rPr>
          <w:rFonts w:ascii="Roboto" w:hAnsi="Roboto"/>
          <w:sz w:val="20"/>
          <w:szCs w:val="20"/>
        </w:rPr>
        <w:t xml:space="preserve"> *</w:t>
      </w:r>
      <w:r w:rsidRPr="007C6C48">
        <w:rPr>
          <w:rFonts w:ascii="Roboto" w:hAnsi="Roboto"/>
          <w:i/>
          <w:iCs/>
          <w:sz w:val="20"/>
          <w:szCs w:val="20"/>
        </w:rPr>
        <w:t>K</w:t>
      </w:r>
      <w:r w:rsidRPr="007C6C48">
        <w:rPr>
          <w:rFonts w:ascii="Roboto" w:hAnsi="Roboto"/>
          <w:sz w:val="20"/>
          <w:szCs w:val="20"/>
          <w:vertAlign w:val="subscript"/>
        </w:rPr>
        <w:t>S2</w:t>
      </w:r>
      <w:r w:rsidRPr="007C6C48">
        <w:rPr>
          <w:rFonts w:ascii="Roboto" w:hAnsi="Roboto"/>
          <w:sz w:val="20"/>
          <w:szCs w:val="20"/>
        </w:rPr>
        <w:t xml:space="preserve"> = </w:t>
      </w:r>
      <w:r w:rsidRPr="007C6C48">
        <w:rPr>
          <w:rFonts w:ascii="Roboto" w:hAnsi="Roboto"/>
          <w:i/>
          <w:iCs/>
          <w:sz w:val="20"/>
          <w:szCs w:val="20"/>
        </w:rPr>
        <w:t>f</w:t>
      </w:r>
      <w:r w:rsidRPr="007C6C48">
        <w:rPr>
          <w:rFonts w:ascii="Roboto" w:hAnsi="Roboto"/>
          <w:sz w:val="20"/>
          <w:szCs w:val="20"/>
          <w:vertAlign w:val="subscript"/>
        </w:rPr>
        <w:t>SO3</w:t>
      </w:r>
      <w:r w:rsidRPr="007C6C48">
        <w:rPr>
          <w:rFonts w:ascii="Roboto" w:hAnsi="Roboto"/>
          <w:sz w:val="20"/>
          <w:szCs w:val="20"/>
        </w:rPr>
        <w:t>/</w:t>
      </w:r>
      <w:r w:rsidRPr="007C6C48">
        <w:rPr>
          <w:rFonts w:ascii="Roboto" w:hAnsi="Roboto"/>
          <w:i/>
          <w:iCs/>
          <w:sz w:val="20"/>
          <w:szCs w:val="20"/>
        </w:rPr>
        <w:t>f</w:t>
      </w:r>
      <w:r w:rsidRPr="007C6C48">
        <w:rPr>
          <w:rFonts w:ascii="Roboto" w:hAnsi="Roboto"/>
          <w:sz w:val="20"/>
          <w:szCs w:val="20"/>
          <w:vertAlign w:val="subscript"/>
        </w:rPr>
        <w:t>O2</w:t>
      </w:r>
      <w:r w:rsidRPr="007C6C48">
        <w:rPr>
          <w:rFonts w:ascii="Roboto" w:hAnsi="Roboto"/>
          <w:sz w:val="20"/>
          <w:szCs w:val="20"/>
          <w:vertAlign w:val="superscript"/>
        </w:rPr>
        <w:t>1.5</w:t>
      </w:r>
      <w:r w:rsidRPr="007C6C48">
        <w:rPr>
          <w:rFonts w:ascii="Roboto" w:hAnsi="Roboto"/>
          <w:i/>
          <w:iCs/>
          <w:sz w:val="20"/>
          <w:szCs w:val="20"/>
        </w:rPr>
        <w:t>f</w:t>
      </w:r>
      <w:r w:rsidRPr="007C6C48">
        <w:rPr>
          <w:rFonts w:ascii="Roboto" w:hAnsi="Roboto"/>
          <w:sz w:val="20"/>
          <w:szCs w:val="20"/>
          <w:vertAlign w:val="subscript"/>
        </w:rPr>
        <w:t>S2</w:t>
      </w:r>
      <w:r w:rsidRPr="007C6C48">
        <w:rPr>
          <w:rFonts w:ascii="Roboto" w:hAnsi="Roboto"/>
          <w:sz w:val="20"/>
          <w:szCs w:val="20"/>
          <w:vertAlign w:val="superscript"/>
        </w:rPr>
        <w:t>0.5</w:t>
      </w:r>
      <w:r w:rsidRPr="007C6C48">
        <w:rPr>
          <w:rFonts w:ascii="Roboto" w:hAnsi="Roboto"/>
          <w:sz w:val="20"/>
          <w:szCs w:val="20"/>
        </w:rPr>
        <w:t xml:space="preserve"> – this is not a reaction in VolFe (i.e., SO</w:t>
      </w:r>
      <w:r w:rsidRPr="007C6C48">
        <w:rPr>
          <w:rFonts w:ascii="Roboto" w:hAnsi="Roboto"/>
          <w:sz w:val="20"/>
          <w:szCs w:val="20"/>
          <w:vertAlign w:val="subscript"/>
        </w:rPr>
        <w:t>3</w:t>
      </w:r>
      <w:r w:rsidRPr="007C6C48">
        <w:rPr>
          <w:rFonts w:ascii="Roboto" w:hAnsi="Roboto"/>
          <w:sz w:val="20"/>
          <w:szCs w:val="20"/>
        </w:rPr>
        <w:t xml:space="preserve"> is not a vapor species present), but this is required to use the </w:t>
      </w:r>
      <w:r w:rsidRPr="007C6C48">
        <w:rPr>
          <w:rFonts w:ascii="Roboto" w:hAnsi="Roboto"/>
          <w:sz w:val="20"/>
          <w:szCs w:val="20"/>
        </w:rPr>
        <w:fldChar w:fldCharType="begin" w:fldLock="1"/>
      </w:r>
      <w:r w:rsidRPr="007C6C48">
        <w:rPr>
          <w:rFonts w:ascii="Roboto" w:hAnsi="Roboto"/>
          <w:sz w:val="20"/>
          <w:szCs w:val="20"/>
        </w:rPr>
        <w:instrText>ADDIN CSL_CITATION {"citationItems":[{"id":"ITEM-1","itemData":{"DOI":"10.1016/J.GCA.2022.06.020","ISSN":"0016-7037","author":[{"dropping-particle":"","family":"O'Neill","given":"Hugh St. C.","non-dropping-particle":"","parse-names":false,"suffix":""},{"dropping-particle":"","family":"Mavrogenes","given":"John A.","non-dropping-particle":"","parse-names":false,"suffix":""}],"container-title":"Geochimica et Cosmochimica Acta","id":"ITEM-1","issued":{"date-parts":[["2022","6","27"]]},"publisher":"Pergamon","title":"The sulfate capacities of silicate melts","type":"article-journal"},"uris":["http://www.mendeley.com/documents/?uuid=28383afe-41b6-312f-a795-212a394fed74"]}],"mendeley":{"formattedCitation":"(O’Neill and Mavrogenes, 2022)","manualFormatting":"O’Neill and Mavrogenes (2022)","plainTextFormattedCitation":"(O’Neill and Mavrogenes, 2022)","previouslyFormattedCitation":"(O’Neill and Mavrogenes, 2022)"},"properties":{"noteIndex":0},"schema":"https://github.com/citation-style-language/schema/raw/master/csl-citation.json"}</w:instrText>
      </w:r>
      <w:r w:rsidRPr="007C6C48">
        <w:rPr>
          <w:rFonts w:ascii="Roboto" w:hAnsi="Roboto"/>
          <w:sz w:val="20"/>
          <w:szCs w:val="20"/>
        </w:rPr>
        <w:fldChar w:fldCharType="separate"/>
      </w:r>
      <w:r w:rsidRPr="007C6C48">
        <w:rPr>
          <w:rFonts w:ascii="Roboto" w:hAnsi="Roboto"/>
          <w:noProof/>
          <w:sz w:val="20"/>
          <w:szCs w:val="20"/>
        </w:rPr>
        <w:t>O’Neill and Mavrogenes (2022)</w:t>
      </w:r>
      <w:r w:rsidRPr="007C6C48">
        <w:rPr>
          <w:rFonts w:ascii="Roboto" w:hAnsi="Roboto"/>
          <w:sz w:val="20"/>
          <w:szCs w:val="20"/>
        </w:rPr>
        <w:fldChar w:fldCharType="end"/>
      </w:r>
      <w:r w:rsidRPr="007C6C48">
        <w:rPr>
          <w:rFonts w:ascii="Roboto" w:hAnsi="Roboto"/>
          <w:sz w:val="20"/>
          <w:szCs w:val="20"/>
        </w:rPr>
        <w:t xml:space="preserve"> sulfate capacity.</w:t>
      </w:r>
    </w:p>
    <w:p w14:paraId="5B170994" w14:textId="56B5571A" w:rsidR="0016716F" w:rsidRPr="007C6C48" w:rsidRDefault="0016716F" w:rsidP="0016716F">
      <w:pPr>
        <w:pStyle w:val="NoSpacing"/>
        <w:spacing w:after="0"/>
        <w:rPr>
          <w:rFonts w:ascii="Roboto" w:hAnsi="Roboto"/>
        </w:rPr>
      </w:pPr>
      <w:bookmarkStart w:id="6" w:name="_Ref151998762"/>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2</w:t>
      </w:r>
      <w:r w:rsidR="006A647B" w:rsidRPr="007C6C48">
        <w:rPr>
          <w:rFonts w:ascii="Roboto" w:hAnsi="Roboto"/>
          <w:noProof/>
        </w:rPr>
        <w:fldChar w:fldCharType="end"/>
      </w:r>
      <w:bookmarkEnd w:id="6"/>
      <w:r w:rsidRPr="007C6C48">
        <w:rPr>
          <w:rFonts w:ascii="Roboto" w:hAnsi="Roboto"/>
          <w:noProof/>
        </w:rPr>
        <w:t>.</w:t>
      </w:r>
      <w:r w:rsidRPr="007C6C48">
        <w:rPr>
          <w:rFonts w:ascii="Roboto" w:hAnsi="Roboto"/>
        </w:rPr>
        <w:t xml:space="preserve"> Fugacity coefficients</w:t>
      </w:r>
      <w:r w:rsidR="005F59D0" w:rsidRPr="007C6C48">
        <w:rPr>
          <w:rFonts w:ascii="Roboto" w:hAnsi="Roboto"/>
        </w:rPr>
        <w:t xml:space="preserve"> for vapor species</w:t>
      </w:r>
      <w:r w:rsidRPr="007C6C48">
        <w:rPr>
          <w:rFonts w:ascii="Roboto" w:hAnsi="Roboto"/>
        </w:rPr>
        <w:t xml:space="preserve"> and their calibration ranges.</w:t>
      </w:r>
    </w:p>
    <w:tbl>
      <w:tblPr>
        <w:tblStyle w:val="TableGrid"/>
        <w:tblW w:w="0" w:type="auto"/>
        <w:tblLook w:val="04A0" w:firstRow="1" w:lastRow="0" w:firstColumn="1" w:lastColumn="0" w:noHBand="0" w:noVBand="1"/>
      </w:tblPr>
      <w:tblGrid>
        <w:gridCol w:w="1055"/>
        <w:gridCol w:w="1043"/>
        <w:gridCol w:w="1048"/>
        <w:gridCol w:w="2698"/>
        <w:gridCol w:w="3172"/>
      </w:tblGrid>
      <w:tr w:rsidR="00073889" w:rsidRPr="007C6C48" w14:paraId="057F5FDD" w14:textId="77777777" w:rsidTr="006A647B">
        <w:tc>
          <w:tcPr>
            <w:tcW w:w="953" w:type="dxa"/>
            <w:tcBorders>
              <w:top w:val="single" w:sz="8" w:space="0" w:color="auto"/>
              <w:bottom w:val="single" w:sz="8" w:space="0" w:color="auto"/>
            </w:tcBorders>
          </w:tcPr>
          <w:p w14:paraId="1DD75F6A" w14:textId="77777777" w:rsidR="00073889" w:rsidRPr="007C6C48" w:rsidRDefault="00073889" w:rsidP="00B061FC">
            <w:pPr>
              <w:pStyle w:val="NoSpacing"/>
              <w:spacing w:after="0"/>
              <w:jc w:val="center"/>
              <w:rPr>
                <w:rFonts w:ascii="Roboto" w:hAnsi="Roboto"/>
              </w:rPr>
            </w:pPr>
            <w:r w:rsidRPr="007C6C48">
              <w:rPr>
                <w:rFonts w:ascii="Roboto" w:hAnsi="Roboto"/>
              </w:rPr>
              <w:t>Species</w:t>
            </w:r>
          </w:p>
        </w:tc>
        <w:tc>
          <w:tcPr>
            <w:tcW w:w="1048" w:type="dxa"/>
            <w:tcBorders>
              <w:top w:val="single" w:sz="8" w:space="0" w:color="auto"/>
              <w:bottom w:val="single" w:sz="8" w:space="0" w:color="auto"/>
            </w:tcBorders>
          </w:tcPr>
          <w:p w14:paraId="6A742784" w14:textId="77777777" w:rsidR="00073889" w:rsidRPr="007C6C48" w:rsidRDefault="00073889" w:rsidP="00B061FC">
            <w:pPr>
              <w:pStyle w:val="NoSpacing"/>
              <w:spacing w:after="0"/>
              <w:jc w:val="center"/>
              <w:rPr>
                <w:rFonts w:ascii="Roboto" w:hAnsi="Roboto"/>
              </w:rPr>
            </w:pPr>
            <w:r w:rsidRPr="007C6C48">
              <w:rPr>
                <w:rFonts w:ascii="Roboto" w:hAnsi="Roboto"/>
                <w:i/>
                <w:iCs/>
              </w:rPr>
              <w:t>P</w:t>
            </w:r>
            <w:r w:rsidRPr="007C6C48">
              <w:rPr>
                <w:rFonts w:ascii="Roboto" w:hAnsi="Roboto"/>
              </w:rPr>
              <w:t xml:space="preserve"> (bar)</w:t>
            </w:r>
          </w:p>
        </w:tc>
        <w:tc>
          <w:tcPr>
            <w:tcW w:w="1056" w:type="dxa"/>
            <w:tcBorders>
              <w:top w:val="single" w:sz="8" w:space="0" w:color="auto"/>
              <w:bottom w:val="single" w:sz="8" w:space="0" w:color="auto"/>
            </w:tcBorders>
          </w:tcPr>
          <w:p w14:paraId="051CF422" w14:textId="77777777" w:rsidR="00073889" w:rsidRPr="007C6C48" w:rsidRDefault="00073889" w:rsidP="00B061FC">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2737" w:type="dxa"/>
            <w:tcBorders>
              <w:top w:val="single" w:sz="8" w:space="0" w:color="auto"/>
              <w:bottom w:val="single" w:sz="8" w:space="0" w:color="auto"/>
            </w:tcBorders>
          </w:tcPr>
          <w:p w14:paraId="3C92DEE2" w14:textId="057B41B4" w:rsidR="00073889" w:rsidRPr="007C6C48" w:rsidRDefault="00073889" w:rsidP="00B061FC">
            <w:pPr>
              <w:pStyle w:val="NoSpacing"/>
              <w:spacing w:after="0"/>
              <w:jc w:val="center"/>
              <w:rPr>
                <w:rFonts w:ascii="Roboto" w:hAnsi="Roboto"/>
              </w:rPr>
            </w:pPr>
            <w:r w:rsidRPr="007C6C48">
              <w:rPr>
                <w:rFonts w:ascii="Roboto" w:hAnsi="Roboto"/>
              </w:rPr>
              <w:t>Benchmark</w:t>
            </w:r>
          </w:p>
        </w:tc>
        <w:tc>
          <w:tcPr>
            <w:tcW w:w="3222" w:type="dxa"/>
            <w:tcBorders>
              <w:top w:val="single" w:sz="8" w:space="0" w:color="auto"/>
              <w:bottom w:val="single" w:sz="8" w:space="0" w:color="auto"/>
            </w:tcBorders>
          </w:tcPr>
          <w:p w14:paraId="42CE7586" w14:textId="56775F61" w:rsidR="00073889" w:rsidRPr="007C6C48" w:rsidRDefault="00073889" w:rsidP="00B061FC">
            <w:pPr>
              <w:pStyle w:val="NoSpacing"/>
              <w:spacing w:after="0"/>
              <w:jc w:val="center"/>
              <w:rPr>
                <w:rFonts w:ascii="Roboto" w:hAnsi="Roboto"/>
              </w:rPr>
            </w:pPr>
            <w:r w:rsidRPr="007C6C48">
              <w:rPr>
                <w:rFonts w:ascii="Roboto" w:hAnsi="Roboto"/>
              </w:rPr>
              <w:t>Reference</w:t>
            </w:r>
          </w:p>
        </w:tc>
      </w:tr>
      <w:tr w:rsidR="00073889" w:rsidRPr="007C6C48" w14:paraId="03978A0F" w14:textId="77777777" w:rsidTr="006A647B">
        <w:tc>
          <w:tcPr>
            <w:tcW w:w="953" w:type="dxa"/>
            <w:tcBorders>
              <w:top w:val="single" w:sz="8" w:space="0" w:color="auto"/>
            </w:tcBorders>
          </w:tcPr>
          <w:p w14:paraId="028D4E05" w14:textId="77777777" w:rsidR="00073889" w:rsidRPr="007C6C48" w:rsidRDefault="00073889" w:rsidP="00B061FC">
            <w:pPr>
              <w:pStyle w:val="NoSpacing"/>
              <w:spacing w:after="0"/>
              <w:rPr>
                <w:rFonts w:ascii="Roboto" w:hAnsi="Roboto"/>
              </w:rPr>
            </w:pPr>
            <w:r w:rsidRPr="007C6C48">
              <w:rPr>
                <w:rFonts w:ascii="Roboto" w:hAnsi="Roboto"/>
              </w:rPr>
              <w:t>All</w:t>
            </w:r>
          </w:p>
        </w:tc>
        <w:tc>
          <w:tcPr>
            <w:tcW w:w="1048" w:type="dxa"/>
            <w:tcBorders>
              <w:top w:val="single" w:sz="8" w:space="0" w:color="auto"/>
            </w:tcBorders>
          </w:tcPr>
          <w:p w14:paraId="01F6DA28"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056" w:type="dxa"/>
            <w:tcBorders>
              <w:top w:val="single" w:sz="8" w:space="0" w:color="auto"/>
            </w:tcBorders>
          </w:tcPr>
          <w:p w14:paraId="761BD6D2"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color w:val="000000" w:themeColor="text1"/>
              </w:rPr>
              <w:t>n/a</w:t>
            </w:r>
          </w:p>
        </w:tc>
        <w:tc>
          <w:tcPr>
            <w:tcW w:w="2737" w:type="dxa"/>
            <w:tcBorders>
              <w:top w:val="single" w:sz="8" w:space="0" w:color="auto"/>
            </w:tcBorders>
          </w:tcPr>
          <w:p w14:paraId="0B8C4114" w14:textId="3FB25429" w:rsidR="00073889"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Value is 1</w:t>
            </w:r>
          </w:p>
        </w:tc>
        <w:tc>
          <w:tcPr>
            <w:tcW w:w="3222" w:type="dxa"/>
            <w:tcBorders>
              <w:top w:val="single" w:sz="8" w:space="0" w:color="auto"/>
            </w:tcBorders>
          </w:tcPr>
          <w:p w14:paraId="250D2029" w14:textId="697D6B5A" w:rsidR="00073889"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t xml:space="preserve">Ideal </w:t>
            </w:r>
          </w:p>
        </w:tc>
      </w:tr>
      <w:tr w:rsidR="00073889" w:rsidRPr="007C6C48" w14:paraId="1AD3D6F4" w14:textId="77777777" w:rsidTr="006A647B">
        <w:tc>
          <w:tcPr>
            <w:tcW w:w="953" w:type="dxa"/>
          </w:tcPr>
          <w:p w14:paraId="679807A9" w14:textId="77777777" w:rsidR="00073889" w:rsidRPr="007C6C48" w:rsidRDefault="00073889" w:rsidP="00B061FC">
            <w:pPr>
              <w:pStyle w:val="NoSpacing"/>
              <w:spacing w:after="0"/>
              <w:rPr>
                <w:rFonts w:ascii="Roboto" w:hAnsi="Roboto"/>
              </w:rPr>
            </w:pPr>
            <w:r w:rsidRPr="007C6C48">
              <w:rPr>
                <w:rFonts w:ascii="Roboto" w:hAnsi="Roboto"/>
              </w:rPr>
              <w:t>O</w:t>
            </w:r>
            <w:r w:rsidRPr="007C6C48">
              <w:rPr>
                <w:rFonts w:ascii="Roboto" w:hAnsi="Roboto"/>
                <w:vertAlign w:val="subscript"/>
              </w:rPr>
              <w:t>2</w:t>
            </w:r>
          </w:p>
        </w:tc>
        <w:tc>
          <w:tcPr>
            <w:tcW w:w="1048" w:type="dxa"/>
          </w:tcPr>
          <w:p w14:paraId="4E6AD0A9"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51–20000</w:t>
            </w:r>
          </w:p>
        </w:tc>
        <w:tc>
          <w:tcPr>
            <w:tcW w:w="1056" w:type="dxa"/>
          </w:tcPr>
          <w:p w14:paraId="72D3BD4E"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-118–2227</w:t>
            </w:r>
          </w:p>
        </w:tc>
        <w:tc>
          <w:tcPr>
            <w:tcW w:w="2737" w:type="dxa"/>
          </w:tcPr>
          <w:p w14:paraId="5F036D9A" w14:textId="0CF5C623" w:rsidR="00073889" w:rsidRPr="007C6C48" w:rsidRDefault="004C25CB" w:rsidP="00B061FC">
            <w:pPr>
              <w:pStyle w:val="NoSpacing"/>
              <w:spacing w:after="0"/>
              <w:rPr>
                <w:rFonts w:ascii="Roboto" w:hAnsi="Roboto"/>
              </w:rPr>
            </w:pPr>
            <w:r w:rsidRPr="007C6C48">
              <w:rPr>
                <w:rFonts w:ascii="Roboto" w:hAnsi="Roboto"/>
              </w:rPr>
              <w:t xml:space="preserve">EVo </w:t>
            </w:r>
            <w:r w:rsidRPr="007C6C48">
              <w:rPr>
                <w:rFonts w:ascii="Roboto" w:hAnsi="Roboto"/>
                <w:color w:val="000000" w:themeColor="text1"/>
              </w:rPr>
              <w:t xml:space="preserve">(Liggins et al., </w:t>
            </w:r>
            <w:r w:rsidR="00566F4B" w:rsidRPr="007C6C48">
              <w:rPr>
                <w:rFonts w:ascii="Roboto" w:hAnsi="Roboto"/>
                <w:color w:val="000000" w:themeColor="text1"/>
              </w:rPr>
              <w:t>2020</w:t>
            </w:r>
            <w:r w:rsidRPr="007C6C48">
              <w:rPr>
                <w:rFonts w:ascii="Roboto" w:hAnsi="Roboto"/>
                <w:color w:val="000000" w:themeColor="text1"/>
              </w:rPr>
              <w:t>)</w:t>
            </w:r>
          </w:p>
        </w:tc>
        <w:tc>
          <w:tcPr>
            <w:tcW w:w="3222" w:type="dxa"/>
          </w:tcPr>
          <w:p w14:paraId="40125857" w14:textId="1EA94687"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6A2A2728" w14:textId="77777777" w:rsidTr="006A647B">
        <w:tc>
          <w:tcPr>
            <w:tcW w:w="953" w:type="dxa"/>
          </w:tcPr>
          <w:p w14:paraId="4BE9FDD8" w14:textId="77777777" w:rsidR="00073889" w:rsidRPr="007C6C48" w:rsidRDefault="00073889" w:rsidP="00B061FC">
            <w:pPr>
              <w:pStyle w:val="NoSpacing"/>
              <w:spacing w:after="0"/>
              <w:rPr>
                <w:rFonts w:ascii="Roboto" w:hAnsi="Roboto"/>
              </w:rPr>
            </w:pPr>
            <w:r w:rsidRPr="007C6C48">
              <w:rPr>
                <w:rFonts w:ascii="Roboto" w:hAnsi="Roboto"/>
              </w:rPr>
              <w:t>H</w:t>
            </w:r>
            <w:r w:rsidRPr="007C6C48">
              <w:rPr>
                <w:rFonts w:ascii="Roboto" w:hAnsi="Roboto"/>
                <w:vertAlign w:val="subscript"/>
              </w:rPr>
              <w:t>2</w:t>
            </w:r>
          </w:p>
        </w:tc>
        <w:tc>
          <w:tcPr>
            <w:tcW w:w="1048" w:type="dxa"/>
          </w:tcPr>
          <w:p w14:paraId="6ABC31F1"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 xml:space="preserve">1–3040 </w:t>
            </w:r>
          </w:p>
        </w:tc>
        <w:tc>
          <w:tcPr>
            <w:tcW w:w="1056" w:type="dxa"/>
          </w:tcPr>
          <w:p w14:paraId="50D4C8A9"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 xml:space="preserve">0–1000 </w:t>
            </w:r>
          </w:p>
        </w:tc>
        <w:tc>
          <w:tcPr>
            <w:tcW w:w="2737" w:type="dxa"/>
          </w:tcPr>
          <w:p w14:paraId="41B7B15F" w14:textId="2CC8F86D" w:rsidR="00073889"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t>Their Table 3</w:t>
            </w:r>
          </w:p>
        </w:tc>
        <w:tc>
          <w:tcPr>
            <w:tcW w:w="3222" w:type="dxa"/>
          </w:tcPr>
          <w:p w14:paraId="0E22DAA2" w14:textId="21908E81" w:rsidR="00073889"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{"citationItems":[{"id":"ITEM-1","itemData":{"DOI":"10.2475/AJS.262.7.918","ISSN":"0002-9599","abstract":"An empirical equation of state is derived for hydrogen gas which permits computations of fugacity coefficients with reasonable confidence over a wide range of temperatures and pressures. Comparisons are given between fugacity coefficients from the tables and from graphical integration of P-V-T data, as well as comparisons with some previously published results. The tabulated values faithfully reproduce the trends shown by experimental data.","author":[{"dropping-particle":"","family":"Shaw","given":"Herbert R.","non-dropping-particle":"","parse-names":false,"suffix":""},{"dropping-particle":"","family":"Wones","given":"David R.","non-dropping-particle":"","parse-names":false,"suffix":""}],"container-title":"American Journal of Science","id":"ITEM-1","issue":"7","issued":{"date-parts":[["1964","9","1"]]},"page":"918-929","publisher":"American Journal of Science","title":"Fugacity coefficients for hydrogen gas between 0 degrees and 1000 degrees C, for pressures to 3000 atm","type":"article-journal","volume":"262"},"uris":["http://www.mendeley.com/documents/?uuid=5634fd93-831d-3da7-b469-81a8f98d4d94"]}],"mendeley":{"formattedCitation":"(Shaw and Wones, 1964)","manualFormatting":"Shaw and Wones (1964)","plainTextFormattedCitation":"(Shaw and Wones, 1964)","previouslyFormattedCitation":"(Shaw and Wones, 1964)"},"properties":{"noteIndex":0},"schema":"https://github.com/citation-style-language/schema/raw/master/csl-citation.json"}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Shaw and Wones (1964)</w:t>
            </w:r>
            <w:r w:rsidRPr="007C6C48">
              <w:rPr>
                <w:rFonts w:ascii="Roboto" w:hAnsi="Roboto"/>
                <w:color w:val="000000" w:themeColor="text1"/>
              </w:rPr>
              <w:fldChar w:fldCharType="end"/>
            </w:r>
          </w:p>
        </w:tc>
      </w:tr>
      <w:tr w:rsidR="00073889" w:rsidRPr="007C6C48" w14:paraId="107CA661" w14:textId="77777777" w:rsidTr="006A647B">
        <w:tc>
          <w:tcPr>
            <w:tcW w:w="953" w:type="dxa"/>
          </w:tcPr>
          <w:p w14:paraId="6E2D0D1C" w14:textId="77777777" w:rsidR="00073889" w:rsidRPr="007C6C48" w:rsidRDefault="00073889" w:rsidP="00B061FC">
            <w:pPr>
              <w:pStyle w:val="NoSpacing"/>
              <w:spacing w:after="0"/>
              <w:rPr>
                <w:rFonts w:ascii="Roboto" w:hAnsi="Roboto"/>
              </w:rPr>
            </w:pPr>
            <w:r w:rsidRPr="007C6C48">
              <w:rPr>
                <w:rFonts w:ascii="Roboto" w:hAnsi="Roboto"/>
              </w:rPr>
              <w:lastRenderedPageBreak/>
              <w:t>S</w:t>
            </w:r>
            <w:r w:rsidRPr="007C6C48">
              <w:rPr>
                <w:rFonts w:ascii="Roboto" w:hAnsi="Roboto"/>
                <w:vertAlign w:val="subscript"/>
              </w:rPr>
              <w:t>2</w:t>
            </w:r>
          </w:p>
        </w:tc>
        <w:tc>
          <w:tcPr>
            <w:tcW w:w="1048" w:type="dxa"/>
          </w:tcPr>
          <w:p w14:paraId="515CD45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73–20000</w:t>
            </w:r>
          </w:p>
        </w:tc>
        <w:tc>
          <w:tcPr>
            <w:tcW w:w="1056" w:type="dxa"/>
          </w:tcPr>
          <w:p w14:paraId="714C1B3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-65–2227</w:t>
            </w:r>
          </w:p>
        </w:tc>
        <w:tc>
          <w:tcPr>
            <w:tcW w:w="2737" w:type="dxa"/>
          </w:tcPr>
          <w:p w14:paraId="3EAC2A69" w14:textId="13DC6D1D" w:rsidR="00073889" w:rsidRPr="007C6C48" w:rsidRDefault="00F91189" w:rsidP="00B061FC">
            <w:pPr>
              <w:pStyle w:val="NoSpacing"/>
              <w:spacing w:after="0"/>
              <w:rPr>
                <w:rFonts w:ascii="Roboto" w:hAnsi="Roboto"/>
              </w:rPr>
            </w:pPr>
            <w:r w:rsidRPr="007C6C48">
              <w:rPr>
                <w:rFonts w:ascii="Roboto" w:hAnsi="Roboto"/>
              </w:rPr>
              <w:t xml:space="preserve">EVo </w:t>
            </w:r>
            <w:r w:rsidR="00566F4B" w:rsidRPr="007C6C48">
              <w:rPr>
                <w:rFonts w:ascii="Roboto" w:hAnsi="Roboto"/>
                <w:color w:val="000000" w:themeColor="text1"/>
              </w:rPr>
              <w:t>(Liggins et al., 2020)</w:t>
            </w:r>
          </w:p>
        </w:tc>
        <w:tc>
          <w:tcPr>
            <w:tcW w:w="3222" w:type="dxa"/>
          </w:tcPr>
          <w:p w14:paraId="0FBE3ED2" w14:textId="3F1C606E"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4DD8BDAE" w14:textId="77777777" w:rsidTr="006A647B">
        <w:tc>
          <w:tcPr>
            <w:tcW w:w="953" w:type="dxa"/>
          </w:tcPr>
          <w:p w14:paraId="19079189" w14:textId="77777777" w:rsidR="00073889" w:rsidRPr="007C6C48" w:rsidRDefault="00073889" w:rsidP="00B061FC">
            <w:pPr>
              <w:pStyle w:val="NoSpacing"/>
              <w:spacing w:after="0"/>
              <w:rPr>
                <w:rFonts w:ascii="Roboto" w:hAnsi="Roboto"/>
              </w:rPr>
            </w:pPr>
            <w:r w:rsidRPr="007C6C48">
              <w:rPr>
                <w:rFonts w:ascii="Roboto" w:hAnsi="Roboto"/>
              </w:rPr>
              <w:t>CO</w:t>
            </w:r>
          </w:p>
        </w:tc>
        <w:tc>
          <w:tcPr>
            <w:tcW w:w="1048" w:type="dxa"/>
          </w:tcPr>
          <w:p w14:paraId="5266F462"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35–20000</w:t>
            </w:r>
          </w:p>
        </w:tc>
        <w:tc>
          <w:tcPr>
            <w:tcW w:w="1056" w:type="dxa"/>
          </w:tcPr>
          <w:p w14:paraId="52BA359B"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-140–2227</w:t>
            </w:r>
          </w:p>
        </w:tc>
        <w:tc>
          <w:tcPr>
            <w:tcW w:w="2737" w:type="dxa"/>
          </w:tcPr>
          <w:p w14:paraId="59E74473" w14:textId="46320A26" w:rsidR="00073889" w:rsidRPr="007C6C48" w:rsidRDefault="00F91189" w:rsidP="00B061FC">
            <w:pPr>
              <w:pStyle w:val="NoSpacing"/>
              <w:spacing w:after="0"/>
              <w:rPr>
                <w:rFonts w:ascii="Roboto" w:hAnsi="Roboto"/>
              </w:rPr>
            </w:pPr>
            <w:r w:rsidRPr="007C6C48">
              <w:rPr>
                <w:rFonts w:ascii="Roboto" w:hAnsi="Roboto"/>
              </w:rPr>
              <w:t xml:space="preserve">EVo </w:t>
            </w:r>
            <w:r w:rsidR="00566F4B" w:rsidRPr="007C6C48">
              <w:rPr>
                <w:rFonts w:ascii="Roboto" w:hAnsi="Roboto"/>
                <w:color w:val="000000" w:themeColor="text1"/>
              </w:rPr>
              <w:t>(Liggins et al., 2020)</w:t>
            </w:r>
          </w:p>
        </w:tc>
        <w:tc>
          <w:tcPr>
            <w:tcW w:w="3222" w:type="dxa"/>
          </w:tcPr>
          <w:p w14:paraId="4CA76BA0" w14:textId="6DE3DECD"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3C2D3F" w:rsidRPr="007C6C48" w14:paraId="5E68674B" w14:textId="77777777" w:rsidTr="006A647B">
        <w:tc>
          <w:tcPr>
            <w:tcW w:w="953" w:type="dxa"/>
            <w:vMerge w:val="restart"/>
          </w:tcPr>
          <w:p w14:paraId="0EF18CE9" w14:textId="77777777" w:rsidR="003C2D3F" w:rsidRPr="007C6C48" w:rsidRDefault="003C2D3F" w:rsidP="00B061FC">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O</w:t>
            </w:r>
          </w:p>
        </w:tc>
        <w:tc>
          <w:tcPr>
            <w:tcW w:w="1048" w:type="dxa"/>
          </w:tcPr>
          <w:p w14:paraId="63B7922C" w14:textId="77777777" w:rsidR="003C2D3F" w:rsidRPr="007C6C48" w:rsidRDefault="003C2D3F" w:rsidP="00B061FC">
            <w:pPr>
              <w:pStyle w:val="NoSpacing"/>
              <w:spacing w:after="0"/>
              <w:jc w:val="right"/>
              <w:rPr>
                <w:rFonts w:ascii="Roboto" w:hAnsi="Roboto"/>
                <w:color w:val="000000" w:themeColor="text1"/>
              </w:rPr>
            </w:pPr>
            <w:r w:rsidRPr="007C6C48">
              <w:rPr>
                <w:rFonts w:ascii="Roboto" w:hAnsi="Roboto"/>
              </w:rPr>
              <w:t>1–50000</w:t>
            </w:r>
          </w:p>
        </w:tc>
        <w:tc>
          <w:tcPr>
            <w:tcW w:w="1056" w:type="dxa"/>
          </w:tcPr>
          <w:p w14:paraId="146F7F6C" w14:textId="08BC349E" w:rsidR="003C2D3F" w:rsidRPr="007C6C48" w:rsidRDefault="003C2D3F" w:rsidP="00B061FC">
            <w:pPr>
              <w:pStyle w:val="NoSpacing"/>
              <w:spacing w:after="0"/>
              <w:jc w:val="right"/>
              <w:rPr>
                <w:rFonts w:ascii="Roboto" w:hAnsi="Roboto"/>
                <w:color w:val="000000" w:themeColor="text1"/>
              </w:rPr>
            </w:pPr>
            <w:r w:rsidRPr="007C6C48">
              <w:rPr>
                <w:rFonts w:ascii="Roboto" w:hAnsi="Roboto"/>
              </w:rPr>
              <w:t>400–1400</w:t>
            </w:r>
          </w:p>
        </w:tc>
        <w:tc>
          <w:tcPr>
            <w:tcW w:w="2737" w:type="dxa"/>
          </w:tcPr>
          <w:p w14:paraId="7D34B5D7" w14:textId="0E498082" w:rsidR="003C2D3F" w:rsidRPr="007C6C48" w:rsidRDefault="003C2D3F" w:rsidP="00B061FC">
            <w:pPr>
              <w:pStyle w:val="NoSpacing"/>
              <w:spacing w:after="0"/>
              <w:rPr>
                <w:rFonts w:ascii="Roboto" w:hAnsi="Roboto"/>
              </w:rPr>
            </w:pPr>
            <w:r w:rsidRPr="007C6C48">
              <w:rPr>
                <w:rFonts w:ascii="Roboto" w:hAnsi="Roboto"/>
              </w:rPr>
              <w:t xml:space="preserve">EVo </w:t>
            </w:r>
            <w:r w:rsidRPr="007C6C48">
              <w:rPr>
                <w:rFonts w:ascii="Roboto" w:hAnsi="Roboto"/>
                <w:color w:val="000000" w:themeColor="text1"/>
              </w:rPr>
              <w:t>(Liggins et al., 2020)</w:t>
            </w:r>
          </w:p>
        </w:tc>
        <w:tc>
          <w:tcPr>
            <w:tcW w:w="3222" w:type="dxa"/>
          </w:tcPr>
          <w:p w14:paraId="1478191F" w14:textId="39ABF69F" w:rsidR="003C2D3F" w:rsidRPr="007C6C48" w:rsidRDefault="003C2D3F" w:rsidP="00B061FC">
            <w:pPr>
              <w:pStyle w:val="NoSpacing"/>
              <w:spacing w:after="0"/>
              <w:rPr>
                <w:rFonts w:ascii="Roboto" w:hAnsi="Roboto"/>
                <w:color w:val="000000" w:themeColor="text1"/>
              </w:rPr>
            </w:pPr>
            <w:r w:rsidRPr="007C6C48">
              <w:rPr>
                <w:rFonts w:ascii="Roboto" w:hAnsi="Roboto"/>
              </w:rPr>
              <w:t xml:space="preserve">Eq. (4, 6: </w:t>
            </w:r>
            <w:r w:rsidRPr="007C6C48">
              <w:rPr>
                <w:rFonts w:ascii="Roboto" w:hAnsi="Roboto"/>
                <w:i/>
                <w:iCs/>
              </w:rPr>
              <w:t>T</w:t>
            </w:r>
            <w:r w:rsidRPr="007C6C48">
              <w:rPr>
                <w:rFonts w:ascii="Roboto" w:hAnsi="Roboto"/>
              </w:rPr>
              <w:t xml:space="preserve"> &gt; 673 K, A1, A2, A3) and Table 1 in </w:t>
            </w:r>
            <w:r w:rsidRPr="007C6C48">
              <w:rPr>
                <w:rFonts w:ascii="Roboto" w:hAnsi="Roboto"/>
              </w:rPr>
              <w:fldChar w:fldCharType="begin" w:fldLock="1"/>
            </w:r>
            <w:r w:rsidRPr="007C6C48">
              <w:rPr>
                <w:rFonts w:ascii="Roboto" w:hAnsi="Roboto"/>
              </w:rPr>
              <w:instrText>ADDIN CSL_CITATION {"citationItems":[{"id":"ITEM-1","itemData":{"DOI":"10.1007/BF00306484","ISSN":"1432-0967","abstract":"We present a simple virial-type extension to the modified Redlich-Kwong (MRK) equation for calculation of the volumes and fugacities of H2O and CO2 over the pressure range 0.001–50 kbar and 100 to 1400°C (H2O) and 100 to 1600°C (CO2). This extension has been designed to: (a) compensate for the tendency of the MRK equation to overestimate volumes at high pressures, and (b) accommodate the volume behaviour of coexisting gas and liquid phases along the saturation curve. The equation developed for CO2 may be used to derive volumes and fugacities of CO, H2, CH4, N2, O2 and other gases which conform to the corresponding states principle. For H2O the measured volumes of Burnham et al. are significantly higher in the range 4–10 kbar than those presented by other workers. For CO2 the volume behaviour at high pressures derived from published MRK equations are very different (larger volumes, steeper (∂P/∂T)V, and hence larger fugacities) from the virial-type equations of Saxena and Fei. Our CORK equation for CO2 yields fugacities which are in closer agreement with the available high pressure experimental decarbonation reactions.","author":[{"dropping-particle":"","family":"Holland","given":"Tim","non-dropping-particle":"","parse-names":false,"suffix":""},{"dropping-particle":"","family":"Powell","given":"Roger","non-dropping-particle":"","parse-names":false,"suffix":""}],"container-title":"Contributions to Mineralogy and Petrology 1991 109:2","id":"ITEM-1","issue":"2","issued":{"date-parts":[["1991","12"]]},"page":"265-273","publisher":"Springer","title":"A Compensated-Redlich-Kwong (CORK) equation for volumes and fugacities of CO2 and H2O in the range 1 bar to 50 kbar and 100–1600°C","type":"article-journal","volume":"109"},"uris":["http://www.mendeley.com/documents/?uuid=db805e02-f935-3a49-a23c-602687bb9447"]}],"mendeley":{"formattedCitation":"(Holland and Powell, 1991)","manualFormatting":"Holland and Powell (1991)","plainTextFormattedCitation":"(Holland and Powell, 1991)","previouslyFormattedCitation":"(Holland and Powell,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Holland and Powell (1991)</w:t>
            </w:r>
            <w:r w:rsidRPr="007C6C48">
              <w:rPr>
                <w:rFonts w:ascii="Roboto" w:hAnsi="Roboto"/>
              </w:rPr>
              <w:fldChar w:fldCharType="end"/>
            </w:r>
          </w:p>
        </w:tc>
      </w:tr>
      <w:tr w:rsidR="003C2D3F" w:rsidRPr="007C6C48" w14:paraId="008E72CE" w14:textId="77777777" w:rsidTr="006A647B">
        <w:tc>
          <w:tcPr>
            <w:tcW w:w="953" w:type="dxa"/>
            <w:vMerge/>
          </w:tcPr>
          <w:p w14:paraId="5DE173BD" w14:textId="77777777" w:rsidR="003C2D3F" w:rsidRPr="007C6C48" w:rsidRDefault="003C2D3F" w:rsidP="00B061FC">
            <w:pPr>
              <w:pStyle w:val="NoSpacing"/>
              <w:spacing w:after="0"/>
              <w:rPr>
                <w:rFonts w:ascii="Roboto" w:hAnsi="Roboto"/>
              </w:rPr>
            </w:pPr>
          </w:p>
        </w:tc>
        <w:tc>
          <w:tcPr>
            <w:tcW w:w="1048" w:type="dxa"/>
          </w:tcPr>
          <w:p w14:paraId="2D220B2E" w14:textId="1E6B3946" w:rsidR="003C2D3F" w:rsidRPr="007C6C48" w:rsidRDefault="003C2D3F" w:rsidP="00B061FC">
            <w:pPr>
              <w:pStyle w:val="NoSpacing"/>
              <w:spacing w:after="0"/>
              <w:jc w:val="right"/>
              <w:rPr>
                <w:rFonts w:ascii="Roboto" w:hAnsi="Roboto"/>
              </w:rPr>
            </w:pPr>
            <w:r w:rsidRPr="007C6C48">
              <w:rPr>
                <w:rFonts w:ascii="Roboto" w:hAnsi="Roboto"/>
              </w:rPr>
              <w:t xml:space="preserve">0–10000 </w:t>
            </w:r>
          </w:p>
        </w:tc>
        <w:tc>
          <w:tcPr>
            <w:tcW w:w="1056" w:type="dxa"/>
          </w:tcPr>
          <w:p w14:paraId="0E139E4F" w14:textId="7342CF8E" w:rsidR="003C2D3F" w:rsidRPr="007C6C48" w:rsidDel="00704447" w:rsidRDefault="003C2D3F" w:rsidP="00B061FC">
            <w:pPr>
              <w:pStyle w:val="NoSpacing"/>
              <w:spacing w:after="0"/>
              <w:jc w:val="right"/>
              <w:rPr>
                <w:rFonts w:ascii="Roboto" w:hAnsi="Roboto"/>
              </w:rPr>
            </w:pPr>
            <w:r w:rsidRPr="007C6C48">
              <w:rPr>
                <w:rFonts w:ascii="Roboto" w:hAnsi="Roboto"/>
              </w:rPr>
              <w:t xml:space="preserve">0–1300 </w:t>
            </w:r>
          </w:p>
        </w:tc>
        <w:tc>
          <w:tcPr>
            <w:tcW w:w="2737" w:type="dxa"/>
          </w:tcPr>
          <w:p w14:paraId="21ACF1D3" w14:textId="69AC8D25" w:rsidR="003C2D3F" w:rsidRPr="007C6C48" w:rsidRDefault="003C2D3F" w:rsidP="00B061FC">
            <w:pPr>
              <w:pStyle w:val="NoSpacing"/>
              <w:spacing w:after="0"/>
              <w:rPr>
                <w:rFonts w:ascii="Roboto" w:hAnsi="Roboto"/>
              </w:rPr>
            </w:pPr>
            <w:r w:rsidRPr="007C6C48">
              <w:rPr>
                <w:rFonts w:ascii="Roboto" w:hAnsi="Roboto"/>
              </w:rPr>
              <w:t>-</w:t>
            </w:r>
          </w:p>
        </w:tc>
        <w:tc>
          <w:tcPr>
            <w:tcW w:w="3222" w:type="dxa"/>
          </w:tcPr>
          <w:p w14:paraId="02C5FD2E" w14:textId="080D25D9" w:rsidR="003C2D3F" w:rsidRPr="007C6C48" w:rsidRDefault="003C2D3F" w:rsidP="00B061FC">
            <w:pPr>
              <w:pStyle w:val="NoSpacing"/>
              <w:spacing w:after="0"/>
              <w:rPr>
                <w:rFonts w:ascii="Roboto" w:hAnsi="Roboto"/>
              </w:rPr>
            </w:pPr>
            <w:r w:rsidRPr="007C6C48">
              <w:rPr>
                <w:rFonts w:ascii="Roboto" w:hAnsi="Roboto"/>
              </w:rPr>
              <w:t>Flowers (1979) correction of Holloway (1977) modified from MIMiC (Rasmussen et al., 2021) originally from VolatileCalc (Newman &amp; Lowenstern, 2001)</w:t>
            </w:r>
          </w:p>
        </w:tc>
      </w:tr>
      <w:tr w:rsidR="003C2D3F" w:rsidRPr="007C6C48" w14:paraId="35BBDF19" w14:textId="77777777" w:rsidTr="006A647B">
        <w:tc>
          <w:tcPr>
            <w:tcW w:w="953" w:type="dxa"/>
            <w:vMerge w:val="restart"/>
            <w:vAlign w:val="center"/>
          </w:tcPr>
          <w:p w14:paraId="664F8874" w14:textId="77777777" w:rsidR="003C2D3F" w:rsidRPr="007C6C48" w:rsidRDefault="003C2D3F" w:rsidP="00B061FC">
            <w:pPr>
              <w:pStyle w:val="NoSpacing"/>
              <w:spacing w:after="0"/>
              <w:rPr>
                <w:rFonts w:ascii="Roboto" w:hAnsi="Roboto"/>
              </w:rPr>
            </w:pPr>
            <w:r w:rsidRPr="007C6C48">
              <w:rPr>
                <w:rFonts w:ascii="Roboto" w:hAnsi="Roboto"/>
              </w:rPr>
              <w:t>CO</w:t>
            </w:r>
            <w:r w:rsidRPr="007C6C48">
              <w:rPr>
                <w:rFonts w:ascii="Roboto" w:hAnsi="Roboto"/>
                <w:vertAlign w:val="subscript"/>
              </w:rPr>
              <w:t>2</w:t>
            </w:r>
          </w:p>
        </w:tc>
        <w:tc>
          <w:tcPr>
            <w:tcW w:w="1048" w:type="dxa"/>
          </w:tcPr>
          <w:p w14:paraId="1432ACAD" w14:textId="77777777" w:rsidR="003C2D3F" w:rsidRPr="007C6C48" w:rsidRDefault="003C2D3F" w:rsidP="00B061FC">
            <w:pPr>
              <w:pStyle w:val="NoSpacing"/>
              <w:spacing w:after="0"/>
              <w:jc w:val="right"/>
              <w:rPr>
                <w:rFonts w:ascii="Roboto" w:hAnsi="Roboto"/>
                <w:color w:val="000000" w:themeColor="text1"/>
              </w:rPr>
            </w:pPr>
            <w:r w:rsidRPr="007C6C48">
              <w:rPr>
                <w:rFonts w:ascii="Roboto" w:hAnsi="Roboto"/>
              </w:rPr>
              <w:t>74–20000</w:t>
            </w:r>
          </w:p>
        </w:tc>
        <w:tc>
          <w:tcPr>
            <w:tcW w:w="1056" w:type="dxa"/>
          </w:tcPr>
          <w:p w14:paraId="771716DA" w14:textId="77777777" w:rsidR="003C2D3F" w:rsidRPr="007C6C48" w:rsidRDefault="003C2D3F" w:rsidP="00B061FC">
            <w:pPr>
              <w:pStyle w:val="NoSpacing"/>
              <w:spacing w:after="0"/>
              <w:jc w:val="right"/>
              <w:rPr>
                <w:rFonts w:ascii="Roboto" w:hAnsi="Roboto"/>
                <w:color w:val="000000" w:themeColor="text1"/>
              </w:rPr>
            </w:pPr>
            <w:r w:rsidRPr="007C6C48">
              <w:rPr>
                <w:rFonts w:ascii="Roboto" w:hAnsi="Roboto"/>
              </w:rPr>
              <w:t>31–2227</w:t>
            </w:r>
          </w:p>
        </w:tc>
        <w:tc>
          <w:tcPr>
            <w:tcW w:w="2737" w:type="dxa"/>
          </w:tcPr>
          <w:p w14:paraId="74D61210" w14:textId="75B87823" w:rsidR="003C2D3F" w:rsidRPr="007C6C48" w:rsidRDefault="003C2D3F" w:rsidP="00B061FC">
            <w:pPr>
              <w:pStyle w:val="NoSpacing"/>
              <w:spacing w:after="0"/>
              <w:rPr>
                <w:rFonts w:ascii="Roboto" w:hAnsi="Roboto"/>
              </w:rPr>
            </w:pPr>
            <w:r w:rsidRPr="007C6C48">
              <w:rPr>
                <w:rFonts w:ascii="Roboto" w:hAnsi="Roboto"/>
              </w:rPr>
              <w:t>-</w:t>
            </w:r>
          </w:p>
        </w:tc>
        <w:tc>
          <w:tcPr>
            <w:tcW w:w="3222" w:type="dxa"/>
          </w:tcPr>
          <w:p w14:paraId="4BD49744" w14:textId="6A30FFE6" w:rsidR="003C2D3F" w:rsidRPr="007C6C48" w:rsidRDefault="003C2D3F"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3C2D3F" w:rsidRPr="007C6C48" w14:paraId="160110BD" w14:textId="77777777" w:rsidTr="006A647B">
        <w:tc>
          <w:tcPr>
            <w:tcW w:w="953" w:type="dxa"/>
            <w:vMerge/>
            <w:vAlign w:val="center"/>
          </w:tcPr>
          <w:p w14:paraId="036AA24B" w14:textId="77777777" w:rsidR="003C2D3F" w:rsidRPr="007C6C48" w:rsidRDefault="003C2D3F" w:rsidP="00B061FC">
            <w:pPr>
              <w:pStyle w:val="NoSpacing"/>
              <w:spacing w:after="0"/>
              <w:rPr>
                <w:rFonts w:ascii="Roboto" w:hAnsi="Roboto"/>
              </w:rPr>
            </w:pPr>
          </w:p>
        </w:tc>
        <w:tc>
          <w:tcPr>
            <w:tcW w:w="1048" w:type="dxa"/>
          </w:tcPr>
          <w:p w14:paraId="2CE0D36A" w14:textId="77777777" w:rsidR="003C2D3F" w:rsidRPr="007C6C48" w:rsidRDefault="003C2D3F" w:rsidP="00B061FC">
            <w:pPr>
              <w:pStyle w:val="NoSpacing"/>
              <w:spacing w:after="0"/>
              <w:jc w:val="right"/>
              <w:rPr>
                <w:rFonts w:ascii="Roboto" w:hAnsi="Roboto"/>
                <w:color w:val="000000" w:themeColor="text1"/>
              </w:rPr>
            </w:pPr>
            <w:r w:rsidRPr="007C6C48">
              <w:rPr>
                <w:rFonts w:ascii="Roboto" w:hAnsi="Roboto"/>
                <w:color w:val="000000" w:themeColor="text1"/>
              </w:rPr>
              <w:t xml:space="preserve">1–8000 </w:t>
            </w:r>
          </w:p>
        </w:tc>
        <w:tc>
          <w:tcPr>
            <w:tcW w:w="1056" w:type="dxa"/>
          </w:tcPr>
          <w:p w14:paraId="481B5DE0" w14:textId="77777777" w:rsidR="003C2D3F" w:rsidRPr="007C6C48" w:rsidRDefault="003C2D3F" w:rsidP="00B061FC">
            <w:pPr>
              <w:pStyle w:val="NoSpacing"/>
              <w:spacing w:after="0"/>
              <w:jc w:val="right"/>
              <w:rPr>
                <w:rFonts w:ascii="Roboto" w:hAnsi="Roboto"/>
                <w:color w:val="000000" w:themeColor="text1"/>
              </w:rPr>
            </w:pPr>
            <w:r w:rsidRPr="007C6C48">
              <w:rPr>
                <w:rFonts w:ascii="Roboto" w:hAnsi="Roboto"/>
                <w:color w:val="000000" w:themeColor="text1"/>
              </w:rPr>
              <w:t xml:space="preserve">200–1600 </w:t>
            </w:r>
          </w:p>
        </w:tc>
        <w:tc>
          <w:tcPr>
            <w:tcW w:w="2737" w:type="dxa"/>
          </w:tcPr>
          <w:p w14:paraId="6C86CE06" w14:textId="030A6FDA" w:rsidR="003C2D3F" w:rsidRPr="007C6C48" w:rsidRDefault="003C2D3F" w:rsidP="00B061FC">
            <w:pPr>
              <w:pStyle w:val="NoSpacing"/>
              <w:spacing w:after="0"/>
              <w:rPr>
                <w:rFonts w:ascii="Roboto" w:hAnsi="Roboto"/>
              </w:rPr>
            </w:pPr>
            <w:r w:rsidRPr="007C6C48">
              <w:rPr>
                <w:rFonts w:ascii="Roboto" w:hAnsi="Roboto"/>
              </w:rPr>
              <w:t xml:space="preserve">EVo </w:t>
            </w:r>
            <w:r w:rsidRPr="007C6C48">
              <w:rPr>
                <w:rFonts w:ascii="Roboto" w:hAnsi="Roboto"/>
                <w:color w:val="000000" w:themeColor="text1"/>
              </w:rPr>
              <w:t>(Liggins et al., 2020)</w:t>
            </w:r>
          </w:p>
        </w:tc>
        <w:tc>
          <w:tcPr>
            <w:tcW w:w="3222" w:type="dxa"/>
          </w:tcPr>
          <w:p w14:paraId="5CED4871" w14:textId="3127B0DF" w:rsidR="003C2D3F" w:rsidRPr="007C6C48" w:rsidRDefault="003C2D3F" w:rsidP="00B061FC">
            <w:pPr>
              <w:pStyle w:val="NoSpacing"/>
              <w:spacing w:after="0"/>
              <w:rPr>
                <w:rFonts w:ascii="Roboto" w:hAnsi="Roboto"/>
                <w:color w:val="000000" w:themeColor="text1"/>
              </w:rPr>
            </w:pPr>
            <w:r w:rsidRPr="007C6C48">
              <w:rPr>
                <w:rFonts w:ascii="Roboto" w:hAnsi="Roboto"/>
              </w:rPr>
              <w:t xml:space="preserve">Eq. (8) and Table 1 </w:t>
            </w:r>
            <w:r w:rsidRPr="007C6C48">
              <w:rPr>
                <w:rFonts w:ascii="Roboto" w:hAnsi="Roboto"/>
              </w:rPr>
              <w:fldChar w:fldCharType="begin" w:fldLock="1"/>
            </w:r>
            <w:r w:rsidRPr="007C6C48">
              <w:rPr>
                <w:rFonts w:ascii="Roboto" w:hAnsi="Roboto"/>
              </w:rPr>
              <w:instrText>ADDIN CSL_CITATION {"citationItems":[{"id":"ITEM-1","itemData":{"DOI":"10.1007/BF00306484","ISSN":"1432-0967","abstract":"We present a simple virial-type extension to the modified Redlich-Kwong (MRK) equation for calculation of the volumes and fugacities of H2O and CO2 over the pressure range 0.001–50 kbar and 100 to 1400°C (H2O) and 100 to 1600°C (CO2). This extension has been designed to: (a) compensate for the tendency of the MRK equation to overestimate volumes at high pressures, and (b) accommodate the volume behaviour of coexisting gas and liquid phases along the saturation curve. The equation developed for CO2 may be used to derive volumes and fugacities of CO, H2, CH4, N2, O2 and other gases which conform to the corresponding states principle. For H2O the measured volumes of Burnham et al. are significantly higher in the range 4–10 kbar than those presented by other workers. For CO2 the volume behaviour at high pressures derived from published MRK equations are very different (larger volumes, steeper (∂P/∂T)V, and hence larger fugacities) from the virial-type equations of Saxena and Fei. Our CORK equation for CO2 yields fugacities which are in closer agreement with the available high pressure experimental decarbonation reactions.","author":[{"dropping-particle":"","family":"Holland","given":"Tim","non-dropping-particle":"","parse-names":false,"suffix":""},{"dropping-particle":"","family":"Powell","given":"Roger","non-dropping-particle":"","parse-names":false,"suffix":""}],"container-title":"Contributions to Mineralogy and Petrology 1991 109:2","id":"ITEM-1","issue":"2","issued":{"date-parts":[["1991","12"]]},"page":"265-273","publisher":"Springer","title":"A Compensated-Redlich-Kwong (CORK) equation for volumes and fugacities of CO2 and H2O in the range 1 bar to 50 kbar and 100–1600°C","type":"article-journal","volume":"109"},"uris":["http://www.mendeley.com/documents/?uuid=db805e02-f935-3a49-a23c-602687bb9447"]}],"mendeley":{"formattedCitation":"(Holland and Powell, 1991)","manualFormatting":"Holland and Powell (1991)","plainTextFormattedCitation":"(Holland and Powell, 1991)","previouslyFormattedCitation":"(Holland and Powell,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Holland and Powell (1991)</w:t>
            </w:r>
            <w:r w:rsidRPr="007C6C48">
              <w:rPr>
                <w:rFonts w:ascii="Roboto" w:hAnsi="Roboto"/>
              </w:rPr>
              <w:fldChar w:fldCharType="end"/>
            </w:r>
          </w:p>
        </w:tc>
      </w:tr>
      <w:tr w:rsidR="003C2D3F" w:rsidRPr="007C6C48" w14:paraId="3C03D9AE" w14:textId="77777777" w:rsidTr="006A647B">
        <w:tc>
          <w:tcPr>
            <w:tcW w:w="953" w:type="dxa"/>
            <w:vMerge/>
            <w:vAlign w:val="center"/>
          </w:tcPr>
          <w:p w14:paraId="156DBD43" w14:textId="77777777" w:rsidR="003C2D3F" w:rsidRPr="007C6C48" w:rsidRDefault="003C2D3F" w:rsidP="006A647B">
            <w:pPr>
              <w:pStyle w:val="NoSpacing"/>
              <w:spacing w:after="0"/>
              <w:rPr>
                <w:rFonts w:ascii="Roboto" w:hAnsi="Roboto"/>
              </w:rPr>
            </w:pPr>
          </w:p>
        </w:tc>
        <w:tc>
          <w:tcPr>
            <w:tcW w:w="1048" w:type="dxa"/>
          </w:tcPr>
          <w:p w14:paraId="2E028011" w14:textId="5A854D31"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1–8000 </w:t>
            </w:r>
          </w:p>
        </w:tc>
        <w:tc>
          <w:tcPr>
            <w:tcW w:w="1056" w:type="dxa"/>
          </w:tcPr>
          <w:p w14:paraId="30F7E604" w14:textId="46EF35CE"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200–1600 </w:t>
            </w:r>
          </w:p>
        </w:tc>
        <w:tc>
          <w:tcPr>
            <w:tcW w:w="2737" w:type="dxa"/>
          </w:tcPr>
          <w:p w14:paraId="313FF920" w14:textId="0214E102" w:rsidR="003C2D3F" w:rsidRPr="007C6C48" w:rsidRDefault="003C2D3F" w:rsidP="006A647B">
            <w:pPr>
              <w:pStyle w:val="NoSpacing"/>
              <w:spacing w:after="0"/>
              <w:rPr>
                <w:rFonts w:ascii="Roboto" w:hAnsi="Roboto"/>
              </w:rPr>
            </w:pPr>
            <w:r w:rsidRPr="007C6C48">
              <w:rPr>
                <w:rFonts w:ascii="Roboto" w:hAnsi="Roboto"/>
              </w:rPr>
              <w:t>-</w:t>
            </w:r>
          </w:p>
        </w:tc>
        <w:tc>
          <w:tcPr>
            <w:tcW w:w="3222" w:type="dxa"/>
          </w:tcPr>
          <w:p w14:paraId="7E451A03" w14:textId="682DFD90" w:rsidR="003C2D3F" w:rsidRPr="007C6C48" w:rsidRDefault="003C2D3F" w:rsidP="006A647B">
            <w:pPr>
              <w:pStyle w:val="NoSpacing"/>
              <w:spacing w:after="0"/>
              <w:rPr>
                <w:rFonts w:ascii="Roboto" w:hAnsi="Roboto"/>
              </w:rPr>
            </w:pPr>
            <w:r w:rsidRPr="007C6C48">
              <w:rPr>
                <w:rFonts w:ascii="Roboto" w:hAnsi="Roboto"/>
              </w:rPr>
              <w:t xml:space="preserve">Eq. (8, 9) and Table 2 </w:t>
            </w:r>
            <w:r w:rsidRPr="007C6C48">
              <w:rPr>
                <w:rFonts w:ascii="Roboto" w:hAnsi="Roboto"/>
              </w:rPr>
              <w:fldChar w:fldCharType="begin" w:fldLock="1"/>
            </w:r>
            <w:r w:rsidRPr="007C6C48">
              <w:rPr>
                <w:rFonts w:ascii="Roboto" w:hAnsi="Roboto"/>
              </w:rPr>
              <w:instrText>ADDIN CSL_CITATION {"citationItems":[{"id":"ITEM-1","itemData":{"DOI":"10.1007/BF00306484","ISSN":"1432-0967","abstract":"We present a simple virial-type extension to the modified Redlich-Kwong (MRK) equation for calculation of the volumes and fugacities of H2O and CO2 over the pressure range 0.001–50 kbar and 100 to 1400°C (H2O) and 100 to 1600°C (CO2). This extension has been designed to: (a) compensate for the tendency of the MRK equation to overestimate volumes at high pressures, and (b) accommodate the volume behaviour of coexisting gas and liquid phases along the saturation curve. The equation developed for CO2 may be used to derive volumes and fugacities of CO, H2, CH4, N2, O2 and other gases which conform to the corresponding states principle. For H2O the measured volumes of Burnham et al. are significantly higher in the range 4–10 kbar than those presented by other workers. For CO2 the volume behaviour at high pressures derived from published MRK equations are very different (larger volumes, steeper (∂P/∂T)V, and hence larger fugacities) from the virial-type equations of Saxena and Fei. Our CORK equation for CO2 yields fugacities which are in closer agreement with the available high pressure experimental decarbonation reactions.","author":[{"dropping-particle":"","family":"Holland","given":"Tim","non-dropping-particle":"","parse-names":false,"suffix":""},{"dropping-particle":"","family":"Powell","given":"Roger","non-dropping-particle":"","parse-names":false,"suffix":""}],"container-title":"Contributions to Mineralogy and Petrology 1991 109:2","id":"ITEM-1","issue":"2","issued":{"date-parts":[["1991","12"]]},"page":"265-273","publisher":"Springer","title":"A Compensated-Redlich-Kwong (CORK) equation for volumes and fugacities of CO2 and H2O in the range 1 bar to 50 kbar and 100–1600°C","type":"article-journal","volume":"109"},"uris":["http://www.mendeley.com/documents/?uuid=db805e02-f935-3a49-a23c-602687bb9447"]}],"mendeley":{"formattedCitation":"(Holland and Powell, 1991)","manualFormatting":"Holland and Powell (1991)","plainTextFormattedCitation":"(Holland and Powell, 1991)","previouslyFormattedCitation":"(Holland and Powell,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Holland and Powell (1991)</w:t>
            </w:r>
            <w:r w:rsidRPr="007C6C48">
              <w:rPr>
                <w:rFonts w:ascii="Roboto" w:hAnsi="Roboto"/>
              </w:rPr>
              <w:fldChar w:fldCharType="end"/>
            </w:r>
          </w:p>
        </w:tc>
      </w:tr>
      <w:tr w:rsidR="003C2D3F" w:rsidRPr="007C6C48" w14:paraId="43749784" w14:textId="77777777" w:rsidTr="006A647B">
        <w:tc>
          <w:tcPr>
            <w:tcW w:w="953" w:type="dxa"/>
            <w:vMerge/>
            <w:vAlign w:val="center"/>
          </w:tcPr>
          <w:p w14:paraId="4049141F" w14:textId="77777777" w:rsidR="003C2D3F" w:rsidRPr="007C6C48" w:rsidRDefault="003C2D3F" w:rsidP="006A647B">
            <w:pPr>
              <w:pStyle w:val="NoSpacing"/>
              <w:spacing w:after="0"/>
              <w:rPr>
                <w:rFonts w:ascii="Roboto" w:hAnsi="Roboto"/>
              </w:rPr>
            </w:pPr>
          </w:p>
        </w:tc>
        <w:tc>
          <w:tcPr>
            <w:tcW w:w="1048" w:type="dxa"/>
          </w:tcPr>
          <w:p w14:paraId="4E95CB58" w14:textId="61EFF3FB"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1–8000 </w:t>
            </w:r>
          </w:p>
        </w:tc>
        <w:tc>
          <w:tcPr>
            <w:tcW w:w="1056" w:type="dxa"/>
          </w:tcPr>
          <w:p w14:paraId="63A6BFE4" w14:textId="4D6FBD59"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200–1600 </w:t>
            </w:r>
          </w:p>
        </w:tc>
        <w:tc>
          <w:tcPr>
            <w:tcW w:w="2737" w:type="dxa"/>
          </w:tcPr>
          <w:p w14:paraId="0F1C6E44" w14:textId="39C74B2D" w:rsidR="003C2D3F" w:rsidRPr="007C6C48" w:rsidRDefault="003C2D3F" w:rsidP="006A647B">
            <w:pPr>
              <w:pStyle w:val="NoSpacing"/>
              <w:spacing w:after="0"/>
              <w:rPr>
                <w:rFonts w:ascii="Roboto" w:hAnsi="Roboto"/>
              </w:rPr>
            </w:pPr>
            <w:r w:rsidRPr="007C6C48">
              <w:rPr>
                <w:rFonts w:ascii="Roboto" w:hAnsi="Roboto"/>
              </w:rPr>
              <w:t>-</w:t>
            </w:r>
          </w:p>
        </w:tc>
        <w:tc>
          <w:tcPr>
            <w:tcW w:w="3222" w:type="dxa"/>
          </w:tcPr>
          <w:p w14:paraId="50BED169" w14:textId="6F9A86A9" w:rsidR="003C2D3F" w:rsidRPr="007C6C48" w:rsidRDefault="003C2D3F" w:rsidP="006A647B">
            <w:pPr>
              <w:pStyle w:val="NoSpacing"/>
              <w:spacing w:after="0"/>
              <w:rPr>
                <w:rFonts w:ascii="Roboto" w:hAnsi="Roboto"/>
              </w:rPr>
            </w:pPr>
            <w:r w:rsidRPr="007C6C48">
              <w:rPr>
                <w:rFonts w:ascii="Roboto" w:hAnsi="Roboto"/>
              </w:rPr>
              <w:t xml:space="preserve">Eq. (4, A1, A2, A3) and Table 2 </w:t>
            </w:r>
            <w:r w:rsidRPr="007C6C48">
              <w:rPr>
                <w:rFonts w:ascii="Roboto" w:hAnsi="Roboto"/>
              </w:rPr>
              <w:fldChar w:fldCharType="begin" w:fldLock="1"/>
            </w:r>
            <w:r w:rsidRPr="007C6C48">
              <w:rPr>
                <w:rFonts w:ascii="Roboto" w:hAnsi="Roboto"/>
              </w:rPr>
              <w:instrText>ADDIN CSL_CITATION {"citationItems":[{"id":"ITEM-1","itemData":{"DOI":"10.1007/BF00306484","ISSN":"1432-0967","abstract":"We present a simple virial-type extension to the modified Redlich-Kwong (MRK) equation for calculation of the volumes and fugacities of H2O and CO2 over the pressure range 0.001–50 kbar and 100 to 1400°C (H2O) and 100 to 1600°C (CO2). This extension has been designed to: (a) compensate for the tendency of the MRK equation to overestimate volumes at high pressures, and (b) accommodate the volume behaviour of coexisting gas and liquid phases along the saturation curve. The equation developed for CO2 may be used to derive volumes and fugacities of CO, H2, CH4, N2, O2 and other gases which conform to the corresponding states principle. For H2O the measured volumes of Burnham et al. are significantly higher in the range 4–10 kbar than those presented by other workers. For CO2 the volume behaviour at high pressures derived from published MRK equations are very different (larger volumes, steeper (∂P/∂T)V, and hence larger fugacities) from the virial-type equations of Saxena and Fei. Our CORK equation for CO2 yields fugacities which are in closer agreement with the available high pressure experimental decarbonation reactions.","author":[{"dropping-particle":"","family":"Holland","given":"Tim","non-dropping-particle":"","parse-names":false,"suffix":""},{"dropping-particle":"","family":"Powell","given":"Roger","non-dropping-particle":"","parse-names":false,"suffix":""}],"container-title":"Contributions to Mineralogy and Petrology 1991 109:2","id":"ITEM-1","issue":"2","issued":{"date-parts":[["1991","12"]]},"page":"265-273","publisher":"Springer","title":"A Compensated-Redlich-Kwong (CORK) equation for volumes and fugacities of CO2 and H2O in the range 1 bar to 50 kbar and 100–1600°C","type":"article-journal","volume":"109"},"uris":["http://www.mendeley.com/documents/?uuid=db805e02-f935-3a49-a23c-602687bb9447"]}],"mendeley":{"formattedCitation":"(Holland and Powell, 1991)","manualFormatting":"Holland and Powell (1991)","plainTextFormattedCitation":"(Holland and Powell, 1991)","previouslyFormattedCitation":"(Holland and Powell,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Holland and Powell (1991)</w:t>
            </w:r>
            <w:r w:rsidRPr="007C6C48">
              <w:rPr>
                <w:rFonts w:ascii="Roboto" w:hAnsi="Roboto"/>
              </w:rPr>
              <w:fldChar w:fldCharType="end"/>
            </w:r>
          </w:p>
        </w:tc>
      </w:tr>
      <w:tr w:rsidR="003C2D3F" w:rsidRPr="007C6C48" w14:paraId="75A467C2" w14:textId="77777777" w:rsidTr="006A647B">
        <w:tc>
          <w:tcPr>
            <w:tcW w:w="953" w:type="dxa"/>
            <w:vMerge/>
            <w:vAlign w:val="center"/>
          </w:tcPr>
          <w:p w14:paraId="1F113A8F" w14:textId="77777777" w:rsidR="003C2D3F" w:rsidRPr="007C6C48" w:rsidRDefault="003C2D3F" w:rsidP="006A647B">
            <w:pPr>
              <w:pStyle w:val="NoSpacing"/>
              <w:spacing w:after="0"/>
              <w:rPr>
                <w:rFonts w:ascii="Roboto" w:hAnsi="Roboto"/>
              </w:rPr>
            </w:pPr>
          </w:p>
        </w:tc>
        <w:tc>
          <w:tcPr>
            <w:tcW w:w="1048" w:type="dxa"/>
          </w:tcPr>
          <w:p w14:paraId="73004076" w14:textId="0E92E28A"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1000–10000 </w:t>
            </w:r>
          </w:p>
        </w:tc>
        <w:tc>
          <w:tcPr>
            <w:tcW w:w="1056" w:type="dxa"/>
          </w:tcPr>
          <w:p w14:paraId="6BB5D7C4" w14:textId="426D84FE" w:rsidR="003C2D3F" w:rsidRPr="007C6C48" w:rsidRDefault="003C2D3F" w:rsidP="006A647B">
            <w:pPr>
              <w:pStyle w:val="NoSpacing"/>
              <w:spacing w:after="0"/>
              <w:jc w:val="right"/>
              <w:rPr>
                <w:rFonts w:ascii="Roboto" w:hAnsi="Roboto"/>
                <w:color w:val="000000" w:themeColor="text1"/>
              </w:rPr>
            </w:pPr>
            <w:r w:rsidRPr="007C6C48">
              <w:rPr>
                <w:rFonts w:ascii="Roboto" w:hAnsi="Roboto"/>
                <w:color w:val="000000" w:themeColor="text1"/>
              </w:rPr>
              <w:t xml:space="preserve">100–1000 </w:t>
            </w:r>
          </w:p>
        </w:tc>
        <w:tc>
          <w:tcPr>
            <w:tcW w:w="2737" w:type="dxa"/>
          </w:tcPr>
          <w:p w14:paraId="3A235F6F" w14:textId="264DBF3C" w:rsidR="003C2D3F" w:rsidRPr="007C6C48" w:rsidRDefault="003C2D3F" w:rsidP="006A647B">
            <w:pPr>
              <w:pStyle w:val="NoSpacing"/>
              <w:spacing w:after="0"/>
              <w:rPr>
                <w:rFonts w:ascii="Roboto" w:hAnsi="Roboto"/>
              </w:rPr>
            </w:pPr>
            <w:r w:rsidRPr="007C6C48">
              <w:rPr>
                <w:rFonts w:ascii="Roboto" w:hAnsi="Roboto"/>
              </w:rPr>
              <w:t>-</w:t>
            </w:r>
          </w:p>
        </w:tc>
        <w:tc>
          <w:tcPr>
            <w:tcW w:w="3222" w:type="dxa"/>
          </w:tcPr>
          <w:p w14:paraId="7A10E815" w14:textId="2152498F" w:rsidR="003C2D3F" w:rsidRPr="007C6C48" w:rsidRDefault="003C2D3F" w:rsidP="006A647B">
            <w:pPr>
              <w:pStyle w:val="NoSpacing"/>
              <w:spacing w:after="0"/>
              <w:rPr>
                <w:rFonts w:ascii="Roboto" w:hAnsi="Roboto"/>
              </w:rPr>
            </w:pPr>
            <w:r w:rsidRPr="007C6C48">
              <w:rPr>
                <w:rFonts w:ascii="Roboto" w:hAnsi="Roboto"/>
              </w:rPr>
              <w:t>Flowers (1979) correction of Holloway (1977) modified from MIMiC (Rasmussen et al., 2021) originally from VolatileCalc (Newman &amp; Lowenstern, 2001)</w:t>
            </w:r>
          </w:p>
        </w:tc>
      </w:tr>
      <w:tr w:rsidR="00073889" w:rsidRPr="007C6C48" w14:paraId="3DDF7B52" w14:textId="77777777" w:rsidTr="006A647B">
        <w:tc>
          <w:tcPr>
            <w:tcW w:w="953" w:type="dxa"/>
            <w:vMerge w:val="restart"/>
            <w:vAlign w:val="center"/>
          </w:tcPr>
          <w:p w14:paraId="41EBD589" w14:textId="77777777" w:rsidR="00073889" w:rsidRPr="007C6C48" w:rsidRDefault="00073889" w:rsidP="00B061FC">
            <w:pPr>
              <w:pStyle w:val="NoSpacing"/>
              <w:spacing w:after="0"/>
              <w:rPr>
                <w:rFonts w:ascii="Roboto" w:hAnsi="Roboto"/>
              </w:rPr>
            </w:pPr>
            <w:r w:rsidRPr="007C6C48">
              <w:rPr>
                <w:rFonts w:ascii="Roboto" w:hAnsi="Roboto"/>
              </w:rPr>
              <w:t>SO</w:t>
            </w:r>
            <w:r w:rsidRPr="007C6C48">
              <w:rPr>
                <w:rFonts w:ascii="Roboto" w:hAnsi="Roboto"/>
                <w:vertAlign w:val="subscript"/>
              </w:rPr>
              <w:t>2</w:t>
            </w:r>
          </w:p>
        </w:tc>
        <w:tc>
          <w:tcPr>
            <w:tcW w:w="1048" w:type="dxa"/>
          </w:tcPr>
          <w:p w14:paraId="0F6BCF6D"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78–20000</w:t>
            </w:r>
          </w:p>
        </w:tc>
        <w:tc>
          <w:tcPr>
            <w:tcW w:w="1056" w:type="dxa"/>
          </w:tcPr>
          <w:p w14:paraId="3601363B"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158–2227</w:t>
            </w:r>
          </w:p>
        </w:tc>
        <w:tc>
          <w:tcPr>
            <w:tcW w:w="2737" w:type="dxa"/>
          </w:tcPr>
          <w:p w14:paraId="6CCF7235" w14:textId="30DA6B9B" w:rsidR="00073889" w:rsidRPr="007C6C48" w:rsidRDefault="0055358B" w:rsidP="00B061FC">
            <w:pPr>
              <w:pStyle w:val="NoSpacing"/>
              <w:spacing w:after="0"/>
              <w:rPr>
                <w:rFonts w:ascii="Roboto" w:hAnsi="Roboto"/>
                <w:lang w:val="nl-NL"/>
              </w:rPr>
            </w:pPr>
            <w:r w:rsidRPr="007C6C48">
              <w:rPr>
                <w:rFonts w:ascii="Roboto" w:hAnsi="Roboto"/>
                <w:lang w:val="nl-NL"/>
              </w:rPr>
              <w:t>Sulfur_X (</w:t>
            </w:r>
            <w:r w:rsidRPr="007C6C48">
              <w:rPr>
                <w:rFonts w:ascii="Roboto" w:hAnsi="Roboto"/>
                <w:color w:val="000000" w:themeColor="text1"/>
                <w:lang w:val="nl-NL"/>
              </w:rPr>
              <w:t>Ding et al., 2023)</w:t>
            </w:r>
          </w:p>
        </w:tc>
        <w:tc>
          <w:tcPr>
            <w:tcW w:w="3222" w:type="dxa"/>
          </w:tcPr>
          <w:p w14:paraId="678A40A9" w14:textId="0A9AB99D"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5F4D47F6" w14:textId="77777777" w:rsidTr="006A647B">
        <w:tc>
          <w:tcPr>
            <w:tcW w:w="953" w:type="dxa"/>
            <w:vMerge/>
            <w:vAlign w:val="center"/>
          </w:tcPr>
          <w:p w14:paraId="418AD028" w14:textId="77777777" w:rsidR="00073889" w:rsidRPr="007C6C48" w:rsidRDefault="00073889" w:rsidP="00B061FC">
            <w:pPr>
              <w:pStyle w:val="NoSpacing"/>
              <w:spacing w:after="0"/>
              <w:rPr>
                <w:rFonts w:ascii="Roboto" w:hAnsi="Roboto"/>
              </w:rPr>
            </w:pPr>
          </w:p>
        </w:tc>
        <w:tc>
          <w:tcPr>
            <w:tcW w:w="1048" w:type="dxa"/>
            <w:vAlign w:val="center"/>
          </w:tcPr>
          <w:p w14:paraId="0560606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78–20000</w:t>
            </w:r>
          </w:p>
        </w:tc>
        <w:tc>
          <w:tcPr>
            <w:tcW w:w="1056" w:type="dxa"/>
            <w:vAlign w:val="center"/>
          </w:tcPr>
          <w:p w14:paraId="5D6023E4"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158–2227</w:t>
            </w:r>
          </w:p>
        </w:tc>
        <w:tc>
          <w:tcPr>
            <w:tcW w:w="2737" w:type="dxa"/>
          </w:tcPr>
          <w:p w14:paraId="2DAAB5F2" w14:textId="2547275A" w:rsidR="00073889" w:rsidRPr="007C6C48" w:rsidRDefault="0055358B" w:rsidP="00B061FC">
            <w:pPr>
              <w:pStyle w:val="NoSpacing"/>
              <w:spacing w:after="0"/>
              <w:rPr>
                <w:rFonts w:ascii="Roboto" w:hAnsi="Roboto"/>
              </w:rPr>
            </w:pPr>
            <w:r w:rsidRPr="007C6C48">
              <w:rPr>
                <w:rFonts w:ascii="Roboto" w:hAnsi="Roboto"/>
              </w:rPr>
              <w:t>VolFe is the benchmark</w:t>
            </w:r>
          </w:p>
        </w:tc>
        <w:tc>
          <w:tcPr>
            <w:tcW w:w="3222" w:type="dxa"/>
          </w:tcPr>
          <w:p w14:paraId="4C4DCA0E" w14:textId="6D5D419B" w:rsidR="00073889" w:rsidRPr="007C6C48" w:rsidRDefault="00073889" w:rsidP="00B061FC">
            <w:pPr>
              <w:pStyle w:val="NoSpacing"/>
              <w:spacing w:after="0"/>
              <w:rPr>
                <w:rFonts w:ascii="Roboto" w:hAnsi="Roboto"/>
                <w:color w:val="000000" w:themeColor="text1"/>
              </w:rPr>
            </w:pPr>
            <w:r w:rsidRPr="007C6C48">
              <w:rPr>
                <w:rFonts w:ascii="Roboto" w:hAnsi="Roboto"/>
              </w:rPr>
              <w:t xml:space="preserve">Figure S1 from </w:t>
            </w:r>
            <w:r w:rsidRPr="007C6C48">
              <w:rPr>
                <w:rFonts w:ascii="Roboto" w:hAnsi="Roboto"/>
              </w:rPr>
              <w:fldChar w:fldCharType="begin" w:fldLock="1"/>
            </w:r>
            <w:r w:rsidRPr="007C6C48">
              <w:rPr>
                <w:rFonts w:ascii="Roboto" w:hAnsi="Roboto"/>
              </w:rPr>
              <w:instrText>ADDIN CSL_CITATION {"citationItems":[{"id":"ITEM-1","itemData":{"DOI":"https://doi.org/10.1144/jgs2021-125","author":[{"dropping-particle":"","family":"Hughes","given":"Ery Catherine","non-dropping-particle":"","parse-names":false,"suffix":""},{"dropping-particle":"","family":"Saper","given":"Lee M.","non-dropping-particle":"","parse-names":false,"suffix":""},{"dropping-particle":"","family":"Liggins","given":"Philippa","non-dropping-particle":"","parse-names":false,"suffix":""},{"dropping-particle":"","family":"O'Neill","given":"Hugh St. C.","non-dropping-particle":"","parse-names":false,"suffix":""},{"dropping-particle":"","family":"Stolper","given":"Edward M.","non-dropping-particle":"","parse-names":false,"suffix":""}],"container-title":"Journal of the Geological Society","id":"ITEM-1","issued":{"date-parts":[["2022"]]},"page":"jgs2021-125","title":"The sulfur solubility minimum and maximum in silicate melt","type":"article-journal","volume":"180"},"uris":["http://www.mendeley.com/documents/?uuid=d3807fa8-bdc8-40c1-adc2-78dd1805fa4f"]}],"mendeley":{"formattedCitation":"(Hughes et al., 2022)","manualFormatting":"Hughes et al. (2022)","plainTextFormattedCitation":"(Hughes et al., 2022)","previouslyFormattedCitation":"(Hughes et al.,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Hughes et al. (2022)</w:t>
            </w:r>
            <w:r w:rsidRPr="007C6C48">
              <w:rPr>
                <w:rFonts w:ascii="Roboto" w:hAnsi="Roboto"/>
              </w:rPr>
              <w:fldChar w:fldCharType="end"/>
            </w:r>
            <w:r w:rsidRPr="007C6C48">
              <w:rPr>
                <w:rFonts w:ascii="Roboto" w:hAnsi="Roboto"/>
              </w:rPr>
              <w:t xml:space="preserve"> based on </w:t>
            </w: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5B4C69C0" w14:textId="77777777" w:rsidTr="006A647B">
        <w:tc>
          <w:tcPr>
            <w:tcW w:w="953" w:type="dxa"/>
            <w:vMerge w:val="restart"/>
            <w:vAlign w:val="center"/>
          </w:tcPr>
          <w:p w14:paraId="32CE9025" w14:textId="77777777" w:rsidR="00073889" w:rsidRPr="007C6C48" w:rsidRDefault="00073889" w:rsidP="00B061FC">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S</w:t>
            </w:r>
          </w:p>
        </w:tc>
        <w:tc>
          <w:tcPr>
            <w:tcW w:w="1048" w:type="dxa"/>
          </w:tcPr>
          <w:p w14:paraId="397CA4D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90–20000</w:t>
            </w:r>
          </w:p>
        </w:tc>
        <w:tc>
          <w:tcPr>
            <w:tcW w:w="1056" w:type="dxa"/>
          </w:tcPr>
          <w:p w14:paraId="7DCDD926"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101–2227</w:t>
            </w:r>
          </w:p>
        </w:tc>
        <w:tc>
          <w:tcPr>
            <w:tcW w:w="2737" w:type="dxa"/>
          </w:tcPr>
          <w:p w14:paraId="309A0A96" w14:textId="18417A5D" w:rsidR="00073889" w:rsidRPr="007C6C48" w:rsidRDefault="00F91189" w:rsidP="00B061FC">
            <w:pPr>
              <w:pStyle w:val="NoSpacing"/>
              <w:spacing w:after="0"/>
              <w:rPr>
                <w:rFonts w:ascii="Roboto" w:hAnsi="Roboto"/>
              </w:rPr>
            </w:pPr>
            <w:r w:rsidRPr="007C6C48">
              <w:rPr>
                <w:rFonts w:ascii="Roboto" w:hAnsi="Roboto"/>
              </w:rPr>
              <w:t xml:space="preserve">EVo </w:t>
            </w:r>
            <w:r w:rsidR="00566F4B" w:rsidRPr="007C6C48">
              <w:rPr>
                <w:rFonts w:ascii="Roboto" w:hAnsi="Roboto"/>
                <w:color w:val="000000" w:themeColor="text1"/>
              </w:rPr>
              <w:t>(Liggins et al., 2020)</w:t>
            </w:r>
          </w:p>
        </w:tc>
        <w:tc>
          <w:tcPr>
            <w:tcW w:w="3222" w:type="dxa"/>
          </w:tcPr>
          <w:p w14:paraId="5D107459" w14:textId="0912C847"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45C976CB" w14:textId="77777777" w:rsidTr="006A647B">
        <w:tc>
          <w:tcPr>
            <w:tcW w:w="953" w:type="dxa"/>
            <w:vMerge/>
          </w:tcPr>
          <w:p w14:paraId="1D81C86A" w14:textId="77777777" w:rsidR="00073889" w:rsidRPr="007C6C48" w:rsidRDefault="00073889" w:rsidP="00B061FC">
            <w:pPr>
              <w:pStyle w:val="NoSpacing"/>
              <w:spacing w:after="0"/>
              <w:rPr>
                <w:rFonts w:ascii="Roboto" w:hAnsi="Roboto"/>
              </w:rPr>
            </w:pPr>
          </w:p>
        </w:tc>
        <w:tc>
          <w:tcPr>
            <w:tcW w:w="1048" w:type="dxa"/>
            <w:vAlign w:val="center"/>
          </w:tcPr>
          <w:p w14:paraId="16F23FE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90–20000</w:t>
            </w:r>
          </w:p>
        </w:tc>
        <w:tc>
          <w:tcPr>
            <w:tcW w:w="1056" w:type="dxa"/>
            <w:vAlign w:val="center"/>
          </w:tcPr>
          <w:p w14:paraId="668B7ADB"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101–2227</w:t>
            </w:r>
          </w:p>
        </w:tc>
        <w:tc>
          <w:tcPr>
            <w:tcW w:w="2737" w:type="dxa"/>
          </w:tcPr>
          <w:p w14:paraId="0937608B" w14:textId="09989669" w:rsidR="00073889" w:rsidRPr="007C6C48" w:rsidRDefault="0055358B" w:rsidP="00B061FC">
            <w:pPr>
              <w:pStyle w:val="NoSpacing"/>
              <w:spacing w:after="0"/>
              <w:rPr>
                <w:rFonts w:ascii="Roboto" w:hAnsi="Roboto"/>
              </w:rPr>
            </w:pPr>
            <w:r w:rsidRPr="007C6C48">
              <w:rPr>
                <w:rFonts w:ascii="Roboto" w:hAnsi="Roboto"/>
              </w:rPr>
              <w:t>VolFe is the benchmark</w:t>
            </w:r>
          </w:p>
        </w:tc>
        <w:tc>
          <w:tcPr>
            <w:tcW w:w="3222" w:type="dxa"/>
          </w:tcPr>
          <w:p w14:paraId="0FF504E5" w14:textId="2094D836" w:rsidR="00073889" w:rsidRPr="007C6C48" w:rsidRDefault="00073889" w:rsidP="00B061FC">
            <w:pPr>
              <w:pStyle w:val="NoSpacing"/>
              <w:spacing w:after="0"/>
              <w:rPr>
                <w:rFonts w:ascii="Roboto" w:hAnsi="Roboto"/>
                <w:color w:val="000000" w:themeColor="text1"/>
              </w:rPr>
            </w:pPr>
            <w:r w:rsidRPr="007C6C48">
              <w:rPr>
                <w:rFonts w:ascii="Roboto" w:hAnsi="Roboto"/>
              </w:rPr>
              <w:t xml:space="preserve">Figure S1 from Hughes et al. (2024) based on </w:t>
            </w: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4ABE9686" w14:textId="77777777" w:rsidTr="006A647B">
        <w:tc>
          <w:tcPr>
            <w:tcW w:w="953" w:type="dxa"/>
          </w:tcPr>
          <w:p w14:paraId="5CDF2D06" w14:textId="77777777" w:rsidR="00073889" w:rsidRPr="007C6C48" w:rsidRDefault="00073889" w:rsidP="00B061FC">
            <w:pPr>
              <w:pStyle w:val="NoSpacing"/>
              <w:spacing w:after="0"/>
              <w:rPr>
                <w:rFonts w:ascii="Roboto" w:hAnsi="Roboto"/>
              </w:rPr>
            </w:pPr>
            <w:r w:rsidRPr="007C6C48">
              <w:rPr>
                <w:rFonts w:ascii="Roboto" w:hAnsi="Roboto"/>
              </w:rPr>
              <w:t>CH</w:t>
            </w:r>
            <w:r w:rsidRPr="007C6C48">
              <w:rPr>
                <w:rFonts w:ascii="Roboto" w:hAnsi="Roboto"/>
                <w:vertAlign w:val="subscript"/>
              </w:rPr>
              <w:t>4</w:t>
            </w:r>
          </w:p>
        </w:tc>
        <w:tc>
          <w:tcPr>
            <w:tcW w:w="1048" w:type="dxa"/>
          </w:tcPr>
          <w:p w14:paraId="78CF32DE"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46–20000</w:t>
            </w:r>
          </w:p>
        </w:tc>
        <w:tc>
          <w:tcPr>
            <w:tcW w:w="1056" w:type="dxa"/>
          </w:tcPr>
          <w:p w14:paraId="3FDF59DF"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-82–2227</w:t>
            </w:r>
          </w:p>
        </w:tc>
        <w:tc>
          <w:tcPr>
            <w:tcW w:w="2737" w:type="dxa"/>
          </w:tcPr>
          <w:p w14:paraId="2FC181C0" w14:textId="4AAD22E9" w:rsidR="00073889" w:rsidRPr="007C6C48" w:rsidRDefault="00F91189" w:rsidP="00B061FC">
            <w:pPr>
              <w:pStyle w:val="NoSpacing"/>
              <w:spacing w:after="0"/>
              <w:rPr>
                <w:rFonts w:ascii="Roboto" w:hAnsi="Roboto"/>
              </w:rPr>
            </w:pPr>
            <w:r w:rsidRPr="007C6C48">
              <w:rPr>
                <w:rFonts w:ascii="Roboto" w:hAnsi="Roboto"/>
              </w:rPr>
              <w:t xml:space="preserve">EVo </w:t>
            </w:r>
            <w:r w:rsidR="00566F4B" w:rsidRPr="007C6C48">
              <w:rPr>
                <w:rFonts w:ascii="Roboto" w:hAnsi="Roboto"/>
                <w:color w:val="000000" w:themeColor="text1"/>
              </w:rPr>
              <w:t>(Liggins et al., 2020)</w:t>
            </w:r>
          </w:p>
        </w:tc>
        <w:tc>
          <w:tcPr>
            <w:tcW w:w="3222" w:type="dxa"/>
          </w:tcPr>
          <w:p w14:paraId="76879726" w14:textId="2C7F6E91"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073889" w:rsidRPr="007C6C48" w14:paraId="50AAD7B6" w14:textId="77777777" w:rsidTr="006A647B">
        <w:tc>
          <w:tcPr>
            <w:tcW w:w="953" w:type="dxa"/>
            <w:tcBorders>
              <w:bottom w:val="single" w:sz="8" w:space="0" w:color="auto"/>
            </w:tcBorders>
          </w:tcPr>
          <w:p w14:paraId="0CA16721" w14:textId="77777777" w:rsidR="00073889" w:rsidRPr="007C6C48" w:rsidRDefault="00073889" w:rsidP="00B061FC">
            <w:pPr>
              <w:pStyle w:val="NoSpacing"/>
              <w:spacing w:after="0"/>
              <w:rPr>
                <w:rFonts w:ascii="Roboto" w:hAnsi="Roboto"/>
              </w:rPr>
            </w:pPr>
            <w:r w:rsidRPr="007C6C48">
              <w:rPr>
                <w:rFonts w:ascii="Roboto" w:hAnsi="Roboto"/>
              </w:rPr>
              <w:t>OCS</w:t>
            </w:r>
          </w:p>
        </w:tc>
        <w:tc>
          <w:tcPr>
            <w:tcW w:w="1048" w:type="dxa"/>
            <w:tcBorders>
              <w:bottom w:val="single" w:sz="8" w:space="0" w:color="auto"/>
            </w:tcBorders>
          </w:tcPr>
          <w:p w14:paraId="26FE054D"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66–20000</w:t>
            </w:r>
          </w:p>
        </w:tc>
        <w:tc>
          <w:tcPr>
            <w:tcW w:w="1056" w:type="dxa"/>
            <w:tcBorders>
              <w:bottom w:val="single" w:sz="8" w:space="0" w:color="auto"/>
            </w:tcBorders>
          </w:tcPr>
          <w:p w14:paraId="7A1E2A2B" w14:textId="77777777" w:rsidR="00073889" w:rsidRPr="007C6C48" w:rsidRDefault="00073889" w:rsidP="00B061FC">
            <w:pPr>
              <w:pStyle w:val="NoSpacing"/>
              <w:spacing w:after="0"/>
              <w:jc w:val="right"/>
              <w:rPr>
                <w:rFonts w:ascii="Roboto" w:hAnsi="Roboto"/>
                <w:color w:val="000000" w:themeColor="text1"/>
              </w:rPr>
            </w:pPr>
            <w:r w:rsidRPr="007C6C48">
              <w:rPr>
                <w:rFonts w:ascii="Roboto" w:hAnsi="Roboto"/>
              </w:rPr>
              <w:t>105–2227</w:t>
            </w:r>
          </w:p>
        </w:tc>
        <w:tc>
          <w:tcPr>
            <w:tcW w:w="2737" w:type="dxa"/>
            <w:tcBorders>
              <w:bottom w:val="single" w:sz="8" w:space="0" w:color="auto"/>
            </w:tcBorders>
          </w:tcPr>
          <w:p w14:paraId="3E5B5D4F" w14:textId="4494A5A7" w:rsidR="00073889" w:rsidRPr="007C6C48" w:rsidRDefault="00F91189" w:rsidP="00B061FC">
            <w:pPr>
              <w:pStyle w:val="NoSpacing"/>
              <w:spacing w:after="0"/>
              <w:rPr>
                <w:rFonts w:ascii="Roboto" w:hAnsi="Roboto"/>
              </w:rPr>
            </w:pPr>
            <w:r w:rsidRPr="007C6C48">
              <w:rPr>
                <w:rFonts w:ascii="Roboto" w:hAnsi="Roboto"/>
              </w:rPr>
              <w:t xml:space="preserve">EVo </w:t>
            </w:r>
            <w:r w:rsidR="00566F4B" w:rsidRPr="007C6C48">
              <w:rPr>
                <w:rFonts w:ascii="Roboto" w:hAnsi="Roboto"/>
                <w:color w:val="000000" w:themeColor="text1"/>
              </w:rPr>
              <w:t>(Liggins et al., 2020)</w:t>
            </w:r>
          </w:p>
        </w:tc>
        <w:tc>
          <w:tcPr>
            <w:tcW w:w="3222" w:type="dxa"/>
            <w:tcBorders>
              <w:bottom w:val="single" w:sz="8" w:space="0" w:color="auto"/>
            </w:tcBorders>
          </w:tcPr>
          <w:p w14:paraId="7244B399" w14:textId="2D9B6AC2" w:rsidR="00073889" w:rsidRPr="007C6C48" w:rsidRDefault="00073889" w:rsidP="00B061FC">
            <w:pPr>
              <w:pStyle w:val="NoSpacing"/>
              <w:spacing w:after="0"/>
              <w:rPr>
                <w:rFonts w:ascii="Roboto" w:hAnsi="Roboto"/>
                <w:color w:val="000000" w:themeColor="tex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bl>
    <w:p w14:paraId="452246F2" w14:textId="77777777" w:rsidR="0016716F" w:rsidRPr="007C6C48" w:rsidRDefault="0016716F" w:rsidP="0016716F">
      <w:pPr>
        <w:rPr>
          <w:rFonts w:ascii="Roboto" w:hAnsi="Roboto"/>
          <w:highlight w:val="yellow"/>
        </w:rPr>
      </w:pPr>
    </w:p>
    <w:p w14:paraId="4F0885FC" w14:textId="75F6AC41" w:rsidR="0016716F" w:rsidRPr="007C6C48" w:rsidRDefault="0016716F" w:rsidP="0016716F">
      <w:pPr>
        <w:pStyle w:val="NoSpacing"/>
        <w:spacing w:after="0"/>
        <w:rPr>
          <w:rFonts w:ascii="Roboto" w:hAnsi="Roboto"/>
          <w:color w:val="000000" w:themeColor="text1"/>
        </w:rPr>
      </w:pPr>
      <w:bookmarkStart w:id="7" w:name="_Ref152014248"/>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3</w:t>
      </w:r>
      <w:r w:rsidR="006A647B" w:rsidRPr="007C6C48">
        <w:rPr>
          <w:rFonts w:ascii="Roboto" w:hAnsi="Roboto"/>
          <w:noProof/>
        </w:rPr>
        <w:fldChar w:fldCharType="end"/>
      </w:r>
      <w:bookmarkEnd w:id="7"/>
      <w:r w:rsidRPr="007C6C48">
        <w:rPr>
          <w:rFonts w:ascii="Roboto" w:hAnsi="Roboto"/>
          <w:noProof/>
        </w:rPr>
        <w:t>.</w:t>
      </w:r>
      <w:r w:rsidRPr="007C6C48">
        <w:rPr>
          <w:rFonts w:ascii="Roboto" w:hAnsi="Roboto"/>
        </w:rPr>
        <w:t xml:space="preserve"> Solubility </w:t>
      </w:r>
      <w:r w:rsidR="008A3EE0" w:rsidRPr="007C6C48">
        <w:rPr>
          <w:rFonts w:ascii="Roboto" w:hAnsi="Roboto"/>
        </w:rPr>
        <w:t xml:space="preserve">functions </w:t>
      </w:r>
      <w:r w:rsidRPr="007C6C48">
        <w:rPr>
          <w:rFonts w:ascii="Roboto" w:hAnsi="Roboto"/>
        </w:rPr>
        <w:t xml:space="preserve">for </w:t>
      </w:r>
      <w:proofErr w:type="gramStart"/>
      <w:r w:rsidRPr="007C6C48">
        <w:rPr>
          <w:rFonts w:ascii="Roboto" w:hAnsi="Roboto"/>
        </w:rPr>
        <w:t>CO</w:t>
      </w:r>
      <w:r w:rsidRPr="007C6C48">
        <w:rPr>
          <w:rFonts w:ascii="Roboto" w:hAnsi="Roboto"/>
          <w:vertAlign w:val="subscript"/>
        </w:rPr>
        <w:t>2,T</w:t>
      </w:r>
      <w:proofErr w:type="gramEnd"/>
      <w:r w:rsidRPr="007C6C48">
        <w:rPr>
          <w:rFonts w:ascii="Roboto" w:hAnsi="Roboto"/>
        </w:rPr>
        <w:t xml:space="preserve"> and range of conditions of experiments used for calibration.</w:t>
      </w:r>
    </w:p>
    <w:tbl>
      <w:tblPr>
        <w:tblStyle w:val="TableGrid"/>
        <w:tblW w:w="0" w:type="auto"/>
        <w:tblLook w:val="04A0" w:firstRow="1" w:lastRow="0" w:firstColumn="1" w:lastColumn="0" w:noHBand="0" w:noVBand="1"/>
      </w:tblPr>
      <w:tblGrid>
        <w:gridCol w:w="1214"/>
        <w:gridCol w:w="913"/>
        <w:gridCol w:w="1048"/>
        <w:gridCol w:w="1579"/>
        <w:gridCol w:w="1427"/>
        <w:gridCol w:w="2835"/>
      </w:tblGrid>
      <w:tr w:rsidR="00025882" w:rsidRPr="007C6C48" w14:paraId="373CB233" w14:textId="77777777" w:rsidTr="00841EAD">
        <w:tc>
          <w:tcPr>
            <w:tcW w:w="1136" w:type="dxa"/>
            <w:tcBorders>
              <w:top w:val="single" w:sz="8" w:space="0" w:color="auto"/>
              <w:bottom w:val="single" w:sz="8" w:space="0" w:color="auto"/>
            </w:tcBorders>
            <w:vAlign w:val="center"/>
          </w:tcPr>
          <w:p w14:paraId="1508E6BF" w14:textId="77777777" w:rsidR="00025882" w:rsidRPr="007C6C48" w:rsidRDefault="00025882" w:rsidP="00B061FC">
            <w:pPr>
              <w:pStyle w:val="NoSpacing"/>
              <w:spacing w:after="0"/>
              <w:jc w:val="center"/>
              <w:rPr>
                <w:rFonts w:ascii="Roboto" w:hAnsi="Roboto"/>
              </w:rPr>
            </w:pPr>
            <w:r w:rsidRPr="007C6C48">
              <w:rPr>
                <w:rFonts w:ascii="Roboto" w:hAnsi="Roboto"/>
              </w:rPr>
              <w:lastRenderedPageBreak/>
              <w:t>Variables</w:t>
            </w:r>
          </w:p>
        </w:tc>
        <w:tc>
          <w:tcPr>
            <w:tcW w:w="886" w:type="dxa"/>
            <w:tcBorders>
              <w:top w:val="single" w:sz="8" w:space="0" w:color="auto"/>
              <w:bottom w:val="single" w:sz="8" w:space="0" w:color="auto"/>
            </w:tcBorders>
            <w:vAlign w:val="center"/>
          </w:tcPr>
          <w:p w14:paraId="1188EAD5" w14:textId="77777777" w:rsidR="00025882" w:rsidRPr="007C6C48" w:rsidRDefault="00025882" w:rsidP="00B061FC">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959" w:type="dxa"/>
            <w:tcBorders>
              <w:top w:val="single" w:sz="8" w:space="0" w:color="auto"/>
              <w:bottom w:val="single" w:sz="8" w:space="0" w:color="auto"/>
            </w:tcBorders>
            <w:vAlign w:val="center"/>
          </w:tcPr>
          <w:p w14:paraId="4CA59EC2" w14:textId="77777777" w:rsidR="00025882" w:rsidRPr="007C6C48" w:rsidRDefault="00025882" w:rsidP="00B061FC">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563" w:type="dxa"/>
            <w:tcBorders>
              <w:top w:val="single" w:sz="8" w:space="0" w:color="auto"/>
              <w:bottom w:val="single" w:sz="8" w:space="0" w:color="auto"/>
            </w:tcBorders>
            <w:vAlign w:val="center"/>
          </w:tcPr>
          <w:p w14:paraId="08C846DB" w14:textId="77777777" w:rsidR="00025882" w:rsidRPr="007C6C48" w:rsidRDefault="00025882" w:rsidP="00B061FC">
            <w:pPr>
              <w:pStyle w:val="NoSpacing"/>
              <w:spacing w:after="0"/>
              <w:jc w:val="center"/>
              <w:rPr>
                <w:rFonts w:ascii="Roboto" w:hAnsi="Roboto"/>
              </w:rPr>
            </w:pPr>
            <w:r w:rsidRPr="007C6C48">
              <w:rPr>
                <w:rFonts w:ascii="Roboto" w:hAnsi="Roboto"/>
              </w:rPr>
              <w:t>Composition</w:t>
            </w:r>
          </w:p>
        </w:tc>
        <w:tc>
          <w:tcPr>
            <w:tcW w:w="1121" w:type="dxa"/>
            <w:tcBorders>
              <w:top w:val="single" w:sz="8" w:space="0" w:color="auto"/>
              <w:bottom w:val="single" w:sz="8" w:space="0" w:color="auto"/>
            </w:tcBorders>
            <w:vAlign w:val="center"/>
          </w:tcPr>
          <w:p w14:paraId="4BE2927A" w14:textId="0C15F20C" w:rsidR="00025882" w:rsidRPr="007C6C48" w:rsidRDefault="00025882" w:rsidP="00025882">
            <w:pPr>
              <w:pStyle w:val="NoSpacing"/>
              <w:spacing w:after="0"/>
              <w:jc w:val="center"/>
              <w:rPr>
                <w:rFonts w:ascii="Roboto" w:hAnsi="Roboto"/>
              </w:rPr>
            </w:pPr>
            <w:r w:rsidRPr="007C6C48">
              <w:rPr>
                <w:rFonts w:ascii="Roboto" w:hAnsi="Roboto"/>
              </w:rPr>
              <w:t>Benchmark</w:t>
            </w:r>
          </w:p>
        </w:tc>
        <w:tc>
          <w:tcPr>
            <w:tcW w:w="3351" w:type="dxa"/>
            <w:tcBorders>
              <w:top w:val="single" w:sz="8" w:space="0" w:color="auto"/>
              <w:bottom w:val="single" w:sz="8" w:space="0" w:color="auto"/>
            </w:tcBorders>
            <w:vAlign w:val="center"/>
          </w:tcPr>
          <w:p w14:paraId="0652F2E3" w14:textId="2652A722" w:rsidR="00025882" w:rsidRPr="007C6C48" w:rsidRDefault="00025882" w:rsidP="00B061FC">
            <w:pPr>
              <w:pStyle w:val="NoSpacing"/>
              <w:spacing w:after="0"/>
              <w:jc w:val="center"/>
              <w:rPr>
                <w:rFonts w:ascii="Roboto" w:hAnsi="Roboto"/>
              </w:rPr>
            </w:pPr>
            <w:r w:rsidRPr="007C6C48">
              <w:rPr>
                <w:rFonts w:ascii="Roboto" w:hAnsi="Roboto"/>
              </w:rPr>
              <w:t>Reference</w:t>
            </w:r>
          </w:p>
        </w:tc>
      </w:tr>
      <w:tr w:rsidR="00025882" w:rsidRPr="007C6C48" w14:paraId="4564F430" w14:textId="77777777" w:rsidTr="00841EAD">
        <w:tc>
          <w:tcPr>
            <w:tcW w:w="1136" w:type="dxa"/>
            <w:tcBorders>
              <w:top w:val="single" w:sz="8" w:space="0" w:color="auto"/>
            </w:tcBorders>
          </w:tcPr>
          <w:p w14:paraId="2E8D3029" w14:textId="77777777" w:rsidR="00025882" w:rsidRPr="007C6C48" w:rsidRDefault="00025882" w:rsidP="00B061FC">
            <w:pPr>
              <w:pStyle w:val="NoSpacing"/>
              <w:spacing w:after="0"/>
              <w:rPr>
                <w:rFonts w:ascii="Roboto" w:hAnsi="Roboto"/>
                <w:i/>
                <w:iCs/>
                <w:color w:val="000000" w:themeColor="text1"/>
              </w:rPr>
            </w:pPr>
            <w:r w:rsidRPr="007C6C48">
              <w:rPr>
                <w:rFonts w:ascii="Roboto" w:hAnsi="Roboto"/>
                <w:i/>
                <w:iCs/>
                <w:color w:val="000000" w:themeColor="text1"/>
              </w:rPr>
              <w:t>P</w:t>
            </w:r>
          </w:p>
        </w:tc>
        <w:tc>
          <w:tcPr>
            <w:tcW w:w="886" w:type="dxa"/>
            <w:tcBorders>
              <w:top w:val="single" w:sz="8" w:space="0" w:color="auto"/>
            </w:tcBorders>
          </w:tcPr>
          <w:p w14:paraId="797D625E"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1170–1600</w:t>
            </w:r>
          </w:p>
        </w:tc>
        <w:tc>
          <w:tcPr>
            <w:tcW w:w="959" w:type="dxa"/>
            <w:tcBorders>
              <w:top w:val="single" w:sz="8" w:space="0" w:color="auto"/>
            </w:tcBorders>
          </w:tcPr>
          <w:p w14:paraId="5A33A94E"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201– 15000</w:t>
            </w:r>
          </w:p>
        </w:tc>
        <w:tc>
          <w:tcPr>
            <w:tcW w:w="1563" w:type="dxa"/>
            <w:tcBorders>
              <w:top w:val="single" w:sz="8" w:space="0" w:color="auto"/>
            </w:tcBorders>
          </w:tcPr>
          <w:p w14:paraId="0AF30A9A"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MORB</w:t>
            </w:r>
          </w:p>
        </w:tc>
        <w:tc>
          <w:tcPr>
            <w:tcW w:w="1121" w:type="dxa"/>
            <w:tcBorders>
              <w:top w:val="single" w:sz="8" w:space="0" w:color="auto"/>
            </w:tcBorders>
          </w:tcPr>
          <w:p w14:paraId="5C08FEFB" w14:textId="7D3BF65A"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 xml:space="preserve">Their </w:t>
            </w:r>
            <w:r w:rsidR="009142E1" w:rsidRPr="007C6C48">
              <w:rPr>
                <w:rFonts w:ascii="Roboto" w:hAnsi="Roboto"/>
                <w:color w:val="000000" w:themeColor="text1"/>
              </w:rPr>
              <w:t>Table 5</w:t>
            </w:r>
          </w:p>
        </w:tc>
        <w:tc>
          <w:tcPr>
            <w:tcW w:w="3351" w:type="dxa"/>
            <w:tcBorders>
              <w:top w:val="single" w:sz="8" w:space="0" w:color="auto"/>
            </w:tcBorders>
          </w:tcPr>
          <w:p w14:paraId="28EA73B0" w14:textId="4E1A24F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 xml:space="preserve">Bullet (5) of summary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{"citationItems":[{"id":"ITEM-1","itemData":{"DOI":"10.1093/oxfordjournals.petrology.a037267","abstract":"Experiments were conducted to determine the solubilities of H2O and CO2 and the nature of their mixing behavior in basaltic liquid at pressures and temperature relevant to seqfloor eruption. Mid-ocean ridge basaltic (MORB) liquid was equilibrated at 1200°C with pure H2O at pressures of 176–717 bar and H2O—CO2 vapor at pressures up to 980 bar. Concentrations and speciation of H2O and CO2 dissolved in the quenched glasses were measured using IR spectroscopy. Molar absorptivities for the 4500 cm−1 band of hydroxyl groups and the 5200 and 1630 cm−1 bands of molecular water are 0</w:instrText>
            </w:r>
            <w:r w:rsidRPr="007C6C48">
              <w:rPr>
                <w:rFonts w:ascii="Cambria Math" w:hAnsi="Cambria Math" w:cs="Cambria Math"/>
                <w:color w:val="000000" w:themeColor="text1"/>
              </w:rPr>
              <w:instrText>⋅</w:instrText>
            </w:r>
            <w:r w:rsidRPr="007C6C48">
              <w:rPr>
                <w:rFonts w:ascii="Roboto" w:hAnsi="Roboto"/>
                <w:color w:val="000000" w:themeColor="text1"/>
              </w:rPr>
              <w:instrText>67±0</w:instrText>
            </w:r>
            <w:r w:rsidRPr="007C6C48">
              <w:rPr>
                <w:rFonts w:ascii="Cambria Math" w:hAnsi="Cambria Math" w:cs="Cambria Math"/>
                <w:color w:val="000000" w:themeColor="text1"/>
              </w:rPr>
              <w:instrText>⋅</w:instrText>
            </w:r>
            <w:r w:rsidRPr="007C6C48">
              <w:rPr>
                <w:rFonts w:ascii="Roboto" w:hAnsi="Roboto"/>
                <w:color w:val="000000" w:themeColor="text1"/>
              </w:rPr>
              <w:instrText>03, 0</w:instrText>
            </w:r>
            <w:r w:rsidRPr="007C6C48">
              <w:rPr>
                <w:rFonts w:ascii="Cambria Math" w:hAnsi="Cambria Math" w:cs="Cambria Math"/>
                <w:color w:val="000000" w:themeColor="text1"/>
              </w:rPr>
              <w:instrText>⋅</w:instrText>
            </w:r>
            <w:r w:rsidRPr="007C6C48">
              <w:rPr>
                <w:rFonts w:ascii="Roboto" w:hAnsi="Roboto"/>
                <w:color w:val="000000" w:themeColor="text1"/>
              </w:rPr>
              <w:instrText>62±0</w:instrText>
            </w:r>
            <w:r w:rsidRPr="007C6C48">
              <w:rPr>
                <w:rFonts w:ascii="Cambria Math" w:hAnsi="Cambria Math" w:cs="Cambria Math"/>
                <w:color w:val="000000" w:themeColor="text1"/>
              </w:rPr>
              <w:instrText>⋅</w:instrText>
            </w:r>
            <w:r w:rsidRPr="007C6C48">
              <w:rPr>
                <w:rFonts w:ascii="Roboto" w:hAnsi="Roboto"/>
                <w:color w:val="000000" w:themeColor="text1"/>
              </w:rPr>
              <w:instrText>07, and 25±3 l/mol-cm, respectively. These and previously determined molar absorptivities for a range of silicate melt compositions correlate positively and linearly with the concentration of tetrahedral cations (Si+Al). The speciation of water in glass quenched from vapor-saturated basaltic melt is similar to that determined by Silver &amp; Stolper (Journal of Petrology30, 667–709, 1989) in albitic glass and can be fitted by their regular ternary solution model using the coefficients for albitic glasses. Concentrations of molecular water measured in the quenched basaltic glasses are proportional to f H2O in all samples regardless of the composition of the vapor, demonstrating that the activity of molecular water in basaltic melts follows Henry's law at these pressures. A best fit to our data and existing higher-pressure water solubility data (Khitarov et al., Geochemistry5, 479–492, 1959; Hamilton et al., Journal of Petrology5, 21–39, 1964), assuming Henrian behavior for molecular water and that the dependence of molecular water content on total water content can be described by the regular solution model, gives estimates for the Vo, mH2O of 12±1 cm3/mol and for the 1-bar water solubility of 0</w:instrText>
            </w:r>
            <w:r w:rsidRPr="007C6C48">
              <w:rPr>
                <w:rFonts w:ascii="Cambria Math" w:hAnsi="Cambria Math" w:cs="Cambria Math"/>
                <w:color w:val="000000" w:themeColor="text1"/>
              </w:rPr>
              <w:instrText>⋅</w:instrText>
            </w:r>
            <w:r w:rsidRPr="007C6C48">
              <w:rPr>
                <w:rFonts w:ascii="Roboto" w:hAnsi="Roboto"/>
                <w:color w:val="000000" w:themeColor="text1"/>
              </w:rPr>
              <w:instrText>11 wt%. Concentrations of CO2 dissolved as carbonate in the melt for pure CO2-saturated and mixed H2O-CO2-saturated experiments are a simple function of fCO2 These results suggest Henrian behavior for the activity of carbonate in basaltic melt and do not support the widely held view that water significantly enhances the solution of carbon dioxide in basaltic melts. Using a ΔVo, mr of 23 cm3/mol (Pan et al., Geochimica et Cosmochimica Acta55, 1587–1595, 1991), the solubility of carbonate in the melt at 1 bar and 1200°C is 0</w:instrText>
            </w:r>
            <w:r w:rsidRPr="007C6C48">
              <w:rPr>
                <w:rFonts w:ascii="Cambria Math" w:hAnsi="Cambria Math" w:cs="Cambria Math"/>
                <w:color w:val="000000" w:themeColor="text1"/>
              </w:rPr>
              <w:instrText>⋅</w:instrText>
            </w:r>
            <w:r w:rsidRPr="007C6C48">
              <w:rPr>
                <w:rFonts w:ascii="Roboto" w:hAnsi="Roboto"/>
                <w:color w:val="000000" w:themeColor="text1"/>
              </w:rPr>
              <w:instrText xml:space="preserve">5 p.p.m. Our revised determination of CO2 solubility is </w:instrText>
            </w:r>
            <w:r w:rsidRPr="007C6C48">
              <w:rPr>
                <w:rFonts w:ascii="Cambria Math" w:hAnsi="Cambria Math" w:cs="Cambria Math"/>
                <w:color w:val="000000" w:themeColor="text1"/>
              </w:rPr>
              <w:instrText>∼</w:instrText>
            </w:r>
            <w:r w:rsidRPr="007C6C48">
              <w:rPr>
                <w:rFonts w:ascii="Roboto" w:hAnsi="Roboto"/>
                <w:color w:val="000000" w:themeColor="text1"/>
              </w:rPr>
              <w:instrText>20% higher than that reported by Stolper &amp; Holloway (Earth and Planetary Science Letters87, 397–408, 19…","author":[{"dropping-particle":"","family":"Dixon","given":"Jacqueline Eaby","non-dropping-particle":"","parse-names":false,"suffix":""},{"dropping-particle":"","family":"Stolper","given":"Edward M.","non-dropping-particle":"","parse-names":false,"suffix":""},{"dropping-particle":"","family":"Holloway","given":"John R.","non-dropping-particle":"","parse-names":false,"suffix":""}],"container-title":"Journal of Petrology","id":"ITEM-1","issue":"6","issued":{"date-parts":[["1995","12","1"]]},"page":"1607-1631","publisher":"Oxford University Press","title":"An experimental study of water and carbon dioxide solubilities in mid-ocean ridge basaltic liquids. Part I: Calibration and solubility models","type":"article-journal","volume":"36"},"uris":["http://www.mendeley.com/documents/?uuid=2e9900bf-0994-3bf3-bbcb-76f8502edb39"]}],"mendeley":{"formattedCitation":"(Dixon et al., 1995)","manualFormatting":"Dixon et al. (1995)","plainTextFormattedCitation":"(Dixon et al., 1995)","previouslyFormattedCitation":"(Dixon et al., 1995)"},"properties":{"noteIndex":0},"schema":"https://github.com/citation-style-language/schema/raw/master/csl-citation.json"}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Dixon et al. (1995)</w:t>
            </w:r>
            <w:r w:rsidRPr="007C6C48">
              <w:rPr>
                <w:rFonts w:ascii="Roboto" w:hAnsi="Roboto"/>
                <w:color w:val="000000" w:themeColor="text1"/>
              </w:rPr>
              <w:fldChar w:fldCharType="end"/>
            </w:r>
            <w:r w:rsidRPr="007C6C48">
              <w:rPr>
                <w:rFonts w:ascii="Roboto" w:hAnsi="Roboto"/>
                <w:color w:val="000000" w:themeColor="text1"/>
              </w:rPr>
              <w:t xml:space="preserve">, which includes values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{"citationItems":[{"id":"ITEM-1","itemData":{"DOI":"10.1016/0016-7037(91)90130-W","ISSN":"00167037","abstract":"The solubility of carbon dioxide in tholeiitic melt (1921 Kilauea basalt ) was determined under experimental conditions of 1 kbar, 1200°C; 10 and 15 kbar and 1300-1600°C. We examined the solubility at pressure and temperature conditions intermediate to those reported in previous studies, and, in particular, we addressed the effect of temperature on carbon dioxide solubility. Two different carbon sources were used in the experiments, silver oxalate and a mixture of carbonate minerals, to examine the effects of dissolved silver on carbon dioxide solubility. Three analytical methods were employed to measure accurately and precisely the dissolved carbon in the run products: ( 1 ) Fourier transform micro-infrared spectroscopy, ( 2 ) secondary ion mass spectrometry, and ( 3 ) bulk carbon analysis with a Perkin Elmer Elemental Analyzer. The first two methods are micro-beam techniques which allowed for assessment of sample homogeneity. Consistent with previous solubility studies, infrared analyses showed that carbon is dissolved in basaltic melt in the form of carbonate. However, our experimental results differ from the previous solubility study in that we demonstrate carbon dioxide solubility is temperature independent. At 1 kbar and 1200°C, carbon dioxide solubility is 543 ppm; at 10 kbar and 1300, 1400, and 1500°C, carbon dioxide solubility is approximately 0.77 ± .07 wt%; and at 15 kbar and 1400, 1450, 1500, 1550, and 1600°C, the solubility is approximately 1.21 ± .13 wt%. Dissolved silver does not appear to affect the solubility. These results invalidate previous models for carbon dioxide solubility. We have developed a new model which describes the pressure and temperature dependence of carbon dioxide solubility for tholeiitic basalts. Regression of the solubility data for the reaction CO2vapor + O2-melt = CO32-melt gives a heat of solution (ΔH0 at 1 kbar and 1473 K) of 5.20 ± 4.30 kJ/mol and the change in partial molar volume ΔV0[CO32-melt- O2-melt of 23.14 ± 1.03 cm3/mol. Application of this model suggests that fluid-saturated partial melting of the MORB source region cannot be supported. © 1991.","author":[{"dropping-particle":"","family":"Pan","given":"Vivian","non-dropping-particle":"","parse-names":false,"suffix":""},{"dropping-particle":"","family":"Holloway","given":"John R.","non-dropping-particle":"","parse-names":false,"suffix":""},{"dropping-particle":"","family":"Hervig","given":"Richard L.","non-dropping-particle":"","parse-names":false,"suffix":""}],"container-title":"Geochimica et Cosmochimica Acta","id":"ITEM-1","issue":"6","issued":{"date-parts":[["1991","6","1"]]},"page":"1587-1595","publisher":"Pergamon","title":"The pressure and temperature dependence of carbon dioxide solubility in tholeiitic basalt melts","type":"article-journal","volume":"55"},"uris":["http://www.mendeley.com/documents/?uuid=97dfbdd1-a8a8-3c08-88d1-f6f0f32a1c34"]}],"mendeley":{"formattedCitation":"(Pan et al., 1991)","manualFormatting":"Pan et al. (1991)","plainTextFormattedCitation":"(Pan et al., 1991)","previouslyFormattedCitation":"(Pan et al., 1991)"},"properties":{"noteIndex":0},"schema":"https://github.com/citation-style-language/schema/raw/master/csl-citation.json"}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Pan et al. (1991)</w:t>
            </w:r>
            <w:r w:rsidRPr="007C6C48">
              <w:rPr>
                <w:rFonts w:ascii="Roboto" w:hAnsi="Roboto"/>
                <w:color w:val="000000" w:themeColor="text1"/>
              </w:rPr>
              <w:fldChar w:fldCharType="end"/>
            </w:r>
            <w:r w:rsidRPr="007C6C48">
              <w:rPr>
                <w:rFonts w:ascii="Roboto" w:hAnsi="Roboto"/>
                <w:color w:val="000000" w:themeColor="text1"/>
              </w:rPr>
              <w:t xml:space="preserve"> </w:t>
            </w:r>
          </w:p>
        </w:tc>
      </w:tr>
      <w:tr w:rsidR="00025882" w:rsidRPr="007C6C48" w14:paraId="3916B1BB" w14:textId="77777777" w:rsidTr="00841EAD">
        <w:tc>
          <w:tcPr>
            <w:tcW w:w="1136" w:type="dxa"/>
          </w:tcPr>
          <w:p w14:paraId="4CF8B9B1" w14:textId="77777777" w:rsidR="00025882" w:rsidRPr="007C6C48" w:rsidRDefault="00025882" w:rsidP="00B061FC">
            <w:pPr>
              <w:pStyle w:val="NoSpacing"/>
              <w:spacing w:after="0"/>
              <w:rPr>
                <w:rFonts w:ascii="Roboto" w:hAnsi="Roboto"/>
                <w:color w:val="000000" w:themeColor="text1"/>
              </w:rPr>
            </w:pP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86" w:type="dxa"/>
          </w:tcPr>
          <w:p w14:paraId="7CF8967C"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1170–1600</w:t>
            </w:r>
          </w:p>
        </w:tc>
        <w:tc>
          <w:tcPr>
            <w:tcW w:w="959" w:type="dxa"/>
          </w:tcPr>
          <w:p w14:paraId="67B2156C"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1000–15000 </w:t>
            </w:r>
          </w:p>
        </w:tc>
        <w:tc>
          <w:tcPr>
            <w:tcW w:w="1563" w:type="dxa"/>
          </w:tcPr>
          <w:p w14:paraId="35ECAC2C"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Basalt</w:t>
            </w:r>
          </w:p>
        </w:tc>
        <w:tc>
          <w:tcPr>
            <w:tcW w:w="1121" w:type="dxa"/>
          </w:tcPr>
          <w:p w14:paraId="645D0CEF" w14:textId="1EBBFB7B"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5395E8F4" w14:textId="602AC88F" w:rsidR="00025882" w:rsidRPr="007C6C48" w:rsidRDefault="00025882" w:rsidP="00B061FC">
            <w:pPr>
              <w:pStyle w:val="NoSpacing"/>
              <w:spacing w:after="0"/>
              <w:rPr>
                <w:rFonts w:ascii="Roboto" w:hAnsi="Roboto"/>
                <w:color w:val="000000" w:themeColor="text1"/>
                <w:highlight w:val="yellow"/>
              </w:rPr>
            </w:pPr>
            <w:r w:rsidRPr="007C6C48">
              <w:rPr>
                <w:rFonts w:ascii="Roboto" w:hAnsi="Roboto"/>
                <w:color w:val="000000" w:themeColor="text1"/>
              </w:rPr>
              <w:t xml:space="preserve">Eq. (7)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{"citationItems":[{"id":"ITEM-1","itemData":{"DOI":"10.2138/AM-1997-3-415/MACHINEREADABLECITATION/RIS","ISSN":"0003004X","abstract":"In order to model quantitatively exsolution of volatiles over the range of basaltic melt compositions found on oceanic islands, I present compositional parameterizations of H2O and CO2 solubilities and use these parameterizations to develop vapor saturation and degassing models for alkalic basaltic liquids. Vapor-saturation diagrams generated as a function of melt composition are used to determine the pressure at which the melt was last in equilibrium with a vapor and the composition of the vapor phase based on measured H2O and CO2 contents in basaltic glasses. These models allow the calculation of the pressure at which a magma of known initial volatile content reaches vapor saturation and begins to exsolve a vapor phase. The higher solubility of CO2 in alkalic magmas causes vapor saturation in CO2-bearing alkalic magmas to be reached at lower pressures than in CO2-bearing tholeiitic magmas having identical volatile contents. However, if variations in major element and volatile concentrations were linked by variations in the extent of melting, then volatile-rich, strongly alkalic magmas would begin to exsolve a vapor at slightly higher pressures than volatile-poor alkali olivine basalts or tholeiites. Partitioning of H2O and CO2 into the vapor during volatile exsolution is controlled by the difference between H2O and CO2 solubilities. As melts become more alkalic, the relative difference between H2O and CO2 solubilities decreases, thus diminishing the preferential partitioning of CO2 into the vapor. Exsolution of volatiles from tholeiites is characterized by strong partitioning of CO2 into the vapor such that most or all CO2 is lost before any significant loss of H2O. In contrast, the combination of higher CO2 solubility and higher volatile contents (and perhaps higher CO2/H2O ratio) in alkalic melts results in less fractionation between CO2 and H2O during volatile exsolution.","author":[{"dropping-particle":"","family":"Dixon","given":"Jacqueline Eaby","non-dropping-particle":"","parse-names":false,"suffix":""}],"container-title":"American Mineralogist","id":"ITEM-1","issue":"3-4","issued":{"date-parts":[["1997","3","1"]]},"page":"368-378","publisher":"Mineralogical Society of America","title":"Degassing of alkalic basalts","type":"article-journal","volume":"82"},"uris":["http://www.mendeley.com/documents/?uuid=494ad5a9-a87f-33b0-ba70-40a70659a8f3"]}],"mendeley":{"formattedCitation":"(Dixon, 1997)","manualFormatting":"Dixon (1997)","plainTextFormattedCitation":"(Dixon, 1997)","previouslyFormattedCitation":"(Dixon, 1997)"},"properties":{"noteIndex":0},"schema":"https://github.com/citation-style-language/schema/raw/master/csl-citation.json"}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Dixon (1997)</w:t>
            </w:r>
            <w:r w:rsidRPr="007C6C48">
              <w:rPr>
                <w:rFonts w:ascii="Roboto" w:hAnsi="Roboto"/>
                <w:color w:val="000000" w:themeColor="text1"/>
              </w:rPr>
              <w:fldChar w:fldCharType="end"/>
            </w:r>
            <w:r w:rsidRPr="007C6C48">
              <w:rPr>
                <w:rFonts w:ascii="Roboto" w:hAnsi="Roboto"/>
                <w:color w:val="000000" w:themeColor="text1"/>
              </w:rPr>
              <w:t xml:space="preserve"> as shown in eq. (1, 5)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{"citationItems":[{"id":"ITEM-1","itemData":{"DOI":"10.1016/j.cageo.2011.09.021","ISSN":"00983004","abstract":"We present a software application, SolEx, to calculate basaltic melt and coexisting vapour compositions in the system C–O–H–S–Cl. Such a model has great utility in interpreting emitted gas and melt inclusion compositions, especially through the incorporation of sulphur and chlorine, the most commonly measured volcanic gas species. We assume that the behaviour of the fluid phase is controlled by the volumetrically dominant volatile species, H2Oand CO2, whereas sulphur and chlorine partition between the melt and fluid phases. Melt–fluid partition coefficients for S and Cl were parameterised from measurements by Lesne et al. (2011a, p. 1737). The model of Churakov and Gottschalk (2003a, p. 2415) was applied to calculate fugacity coefficients and the equilibrium constants for the reaction imelt</w:instrText>
            </w:r>
            <w:r w:rsidRPr="007C6C48">
              <w:rPr>
                <w:rFonts w:cs="Times New Roman"/>
                <w:color w:val="000000" w:themeColor="text1"/>
              </w:rPr>
              <w:instrText>→</w:instrText>
            </w:r>
            <w:r w:rsidRPr="007C6C48">
              <w:rPr>
                <w:rFonts w:ascii="Roboto" w:hAnsi="Roboto"/>
                <w:color w:val="000000" w:themeColor="text1"/>
              </w:rPr>
              <w:instrText>ifluid were thereby deduced. SO2dominates at oxidation states of ΔNNO&gt;0.5 (Jugo et al., 2010, p. 5926), where this model is applicable. In the forward model, total volatile inventories and melt composition are specified by the user. The parameterisation of Dixon (1997, p. 368) is used to predict the partitioning of CO2and H2Obetween vapour and melt phases. An iterative procedure is employed to predict the partitioning of S and Cl components between fluid and melt phases. Melt and gas compositions and gas volume fraction are thereby modelled over pressures in the range 5–4000bar. This approach satisfactorily reproduces independent literature data on S and Cl behaviour in basalt. SolEx is a user-friendly software package available for OS X and Windows, facilitating modelling of closed- and open-system C–O–H–S–Cl degassing in basalts.","author":[{"dropping-particle":"","family":"Witham","given":"F.","non-dropping-particle":"","parse-names":false,"suffix":""},{"dropping-particle":"","family":"Blundy","given":"Jon D.","non-dropping-particle":"","parse-names":false,"suffix":""},{"dropping-particle":"","family":"Kohn","given":"Simon C.","non-dropping-particle":"","parse-names":false,"suffix":""},{"dropping-particle":"","family":"Lesne","given":"Priscille","non-dropping-particle":"","parse-names":false,"suffix":""},{"dropping-particle":"","family":"Dixon","given":"Jacqueline Eaby","non-dropping-particle":"","parse-names":false,"suffix":""},{"dropping-particle":"V.","family":"Churakov","given":"Sergey","non-dropping-particle":"","parse-names":false,"suffix":""},{"dropping-particle":"","family":"Botcharnikov","given":"Roman E.","non-dropping-particle":"","parse-names":false,"suffix":""}],"container-title":"Computers &amp; Geosciences","id":"ITEM-1","issued":{"date-parts":[["2012","8"]]},"page":"87-97","title":"SolEx: A model for mixed COHSCl-volatile solubilities and exsolved gas compositions in basalt","type":"article-journal","volume":"45"},"uris":["http://www.mendeley.com/documents/?uuid=720f4daf-8452-40d3-878e-e49cf744197a"]}],"mendeley":{"formattedCitation":"(Witham et al., 2012)","manualFormatting":"Witham et al. (2012)","plainTextFormattedCitation":"(Witham et al., 2012)","previouslyFormattedCitation":"(Witham et al., 2012)"},"properties":{"noteIndex":0},"schema":"https://github.com/citation-style-language/schema/raw/master/csl-citation.json"}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Witham et al. (2012)</w:t>
            </w:r>
            <w:r w:rsidRPr="007C6C48">
              <w:rPr>
                <w:rFonts w:ascii="Roboto" w:hAnsi="Roboto"/>
                <w:color w:val="000000" w:themeColor="text1"/>
              </w:rPr>
              <w:fldChar w:fldCharType="end"/>
            </w:r>
            <w:r w:rsidRPr="007C6C48">
              <w:rPr>
                <w:rFonts w:ascii="Roboto" w:hAnsi="Roboto"/>
                <w:color w:val="000000" w:themeColor="text1"/>
              </w:rPr>
              <w:t>,</w:t>
            </w:r>
            <w:r w:rsidRPr="007C6C48">
              <w:rPr>
                <w:rFonts w:ascii="Roboto" w:hAnsi="Roboto"/>
                <w:color w:val="0070C0"/>
              </w:rPr>
              <w:t xml:space="preserve"> </w:t>
            </w:r>
            <w:r w:rsidRPr="007C6C48">
              <w:rPr>
                <w:rFonts w:ascii="Roboto" w:hAnsi="Roboto"/>
                <w:color w:val="000000" w:themeColor="text1"/>
              </w:rPr>
              <w:t xml:space="preserve">which includes values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{"citationItems":[{"id":"ITEM-1","itemData":{"DOI":"10.1016/0016-7037(91)90130-W","ISSN":"00167037","abstract":"The solubility of carbon dioxide in tholeiitic melt (1921 Kilauea basalt ) was determined under experimental conditions of 1 kbar, 1200°C; 10 and 15 kbar and 1300-1600°C. We examined the solubility at pressure and temperature conditions intermediate to those reported in previous studies, and, in particular, we addressed the effect of temperature on carbon dioxide solubility. Two different carbon sources were used in the experiments, silver oxalate and a mixture of carbonate minerals, to examine the effects of dissolved silver on carbon dioxide solubility. Three analytical methods were employed to measure accurately and precisely the dissolved carbon in the run products: ( 1 ) Fourier transform micro-infrared spectroscopy, ( 2 ) secondary ion mass spectrometry, and ( 3 ) bulk carbon analysis with a Perkin Elmer Elemental Analyzer. The first two methods are micro-beam techniques which allowed for assessment of sample homogeneity. Consistent with previous solubility studies, infrared analyses showed that carbon is dissolved in basaltic melt in the form of carbonate. However, our experimental results differ from the previous solubility study in that we demonstrate carbon dioxide solubility is temperature independent. At 1 kbar and 1200°C, carbon dioxide solubility is 543 ppm; at 10 kbar and 1300, 1400, and 1500°C, carbon dioxide solubility is approximately 0.77 ± .07 wt%; and at 15 kbar and 1400, 1450, 1500, 1550, and 1600°C, the solubility is approximately 1.21 ± .13 wt%. Dissolved silver does not appear to affect the solubility. These results invalidate previous models for carbon dioxide solubility. We have developed a new model which describes the pressure and temperature dependence of carbon dioxide solubility for tholeiitic basalts. Regression of the solubility data for the reaction CO2vapor + O2-melt = CO32-melt gives a heat of solution (ΔH0 at 1 kbar and 1473 K) of 5.20 ± 4.30 kJ/mol and the change in partial molar volume ΔV0[CO32-melt- O2-melt of 23.14 ± 1.03 cm3/mol. Application of this model suggests that fluid-saturated partial melting of the MORB source region cannot be supported. © 1991.","author":[{"dropping-particle":"","family":"Pan","given":"Vivian","non-dropping-particle":"","parse-names":false,"suffix":""},{"dropping-particle":"","family":"Holloway","given":"John R.","non-dropping-particle":"","parse-names":false,"suffix":""},{"dropping-particle":"","family":"Hervig","given":"Richard L.","non-dropping-particle":"","parse-names":false,"suffix":""}],"container-title":"Geochimica et Cosmochimica Acta","id":"ITEM-1","issue":"6","issued":{"date-parts":[["1991","6","1"]]},"page":"1587-1595","publisher":"Pergamon","title":"The pressure and temperature dependence of carbon dioxide solubility in tholeiitic basalt melts","type":"article-journal","volume":"55"},"uris":["http://www.mendeley.com/documents/?uuid=97dfbdd1-a8a8-3c08-88d1-f6f0f32a1c34"]}],"mendeley":{"formattedCitation":"(Pan et al., 1991)","manualFormatting":"Pan et al. (1991)","plainTextFormattedCitation":"(Pan et al., 1991)","previouslyFormattedCitation":"(Pan et al., 1991)"},"properties":{"noteIndex":0},"schema":"https://github.com/citation-style-language/schema/raw/master/csl-citation.json"}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Pan et al. (1991)</w:t>
            </w:r>
            <w:r w:rsidRPr="007C6C48">
              <w:rPr>
                <w:rFonts w:ascii="Roboto" w:hAnsi="Roboto"/>
                <w:color w:val="000000" w:themeColor="text1"/>
              </w:rPr>
              <w:fldChar w:fldCharType="end"/>
            </w:r>
          </w:p>
        </w:tc>
      </w:tr>
      <w:tr w:rsidR="00025882" w:rsidRPr="007C6C48" w14:paraId="1F28C496" w14:textId="77777777" w:rsidTr="00841EAD">
        <w:tc>
          <w:tcPr>
            <w:tcW w:w="1136" w:type="dxa"/>
          </w:tcPr>
          <w:p w14:paraId="36AD2BA6" w14:textId="77777777" w:rsidR="00025882" w:rsidRPr="007C6C48" w:rsidRDefault="00025882" w:rsidP="00B061FC">
            <w:pPr>
              <w:pStyle w:val="NoSpacing"/>
              <w:spacing w:after="0"/>
              <w:rPr>
                <w:rFonts w:ascii="Roboto" w:hAnsi="Roboto"/>
                <w:color w:val="000000" w:themeColor="text1"/>
              </w:rPr>
            </w:pPr>
            <w:r w:rsidRPr="007C6C48">
              <w:rPr>
                <w:rFonts w:ascii="Roboto" w:hAnsi="Roboto"/>
                <w:i/>
                <w:iCs/>
                <w:color w:val="000000" w:themeColor="text1"/>
              </w:rPr>
              <w:t>P</w:t>
            </w:r>
            <w:r w:rsidRPr="007C6C48">
              <w:rPr>
                <w:rFonts w:ascii="Roboto" w:hAnsi="Roboto"/>
                <w:color w:val="000000" w:themeColor="text1"/>
              </w:rPr>
              <w:t>, SiO</w:t>
            </w:r>
            <w:r w:rsidRPr="007C6C48">
              <w:rPr>
                <w:rFonts w:ascii="Roboto" w:hAnsi="Roboto"/>
                <w:color w:val="000000" w:themeColor="text1"/>
                <w:vertAlign w:val="subscript"/>
              </w:rPr>
              <w:t>2</w:t>
            </w:r>
          </w:p>
        </w:tc>
        <w:tc>
          <w:tcPr>
            <w:tcW w:w="886" w:type="dxa"/>
          </w:tcPr>
          <w:p w14:paraId="2C705B8B"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1170–1600</w:t>
            </w:r>
          </w:p>
        </w:tc>
        <w:tc>
          <w:tcPr>
            <w:tcW w:w="959" w:type="dxa"/>
          </w:tcPr>
          <w:p w14:paraId="6D74ADF9"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1000–15000 </w:t>
            </w:r>
          </w:p>
        </w:tc>
        <w:tc>
          <w:tcPr>
            <w:tcW w:w="1563" w:type="dxa"/>
          </w:tcPr>
          <w:p w14:paraId="3043186D"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Basalt (North Arch)</w:t>
            </w:r>
          </w:p>
        </w:tc>
        <w:tc>
          <w:tcPr>
            <w:tcW w:w="1121" w:type="dxa"/>
          </w:tcPr>
          <w:p w14:paraId="2A89DBF2" w14:textId="37C67861"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190CE7E4" w14:textId="60C617BF" w:rsidR="00025882" w:rsidRPr="007C6C48" w:rsidRDefault="00025882" w:rsidP="00B061FC">
            <w:pPr>
              <w:pStyle w:val="NoSpacing"/>
              <w:spacing w:after="0"/>
              <w:rPr>
                <w:rFonts w:ascii="Roboto" w:hAnsi="Roboto"/>
                <w:color w:val="FF0000"/>
                <w:highlight w:val="yellow"/>
              </w:rPr>
            </w:pPr>
            <w:r w:rsidRPr="007C6C48">
              <w:rPr>
                <w:rFonts w:ascii="Roboto" w:hAnsi="Roboto"/>
                <w:color w:val="000000" w:themeColor="text1"/>
              </w:rPr>
              <w:t xml:space="preserve">Eq. (8)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{"citationItems":[{"id":"ITEM-1","itemData":{"DOI":"10.2138/AM-1997-3-415/MACHINEREADABLECITATION/RIS","ISSN":"0003004X","abstract":"In order to model quantitatively exsolution of volatiles over the range of basaltic melt compositions found on oceanic islands, I present compositional parameterizations of H2O and CO2 solubilities and use these parameterizations to develop vapor saturation and degassing models for alkalic basaltic liquids. Vapor-saturation diagrams generated as a function of melt composition are used to determine the pressure at which the melt was last in equilibrium with a vapor and the composition of the vapor phase based on measured H2O and CO2 contents in basaltic glasses. These models allow the calculation of the pressure at which a magma of known initial volatile content reaches vapor saturation and begins to exsolve a vapor phase. The higher solubility of CO2 in alkalic magmas causes vapor saturation in CO2-bearing alkalic magmas to be reached at lower pressures than in CO2-bearing tholeiitic magmas having identical volatile contents. However, if variations in major element and volatile concentrations were linked by variations in the extent of melting, then volatile-rich, strongly alkalic magmas would begin to exsolve a vapor at slightly higher pressures than volatile-poor alkali olivine basalts or tholeiites. Partitioning of H2O and CO2 into the vapor during volatile exsolution is controlled by the difference between H2O and CO2 solubilities. As melts become more alkalic, the relative difference between H2O and CO2 solubilities decreases, thus diminishing the preferential partitioning of CO2 into the vapor. Exsolution of volatiles from tholeiites is characterized by strong partitioning of CO2 into the vapor such that most or all CO2 is lost before any significant loss of H2O. In contrast, the combination of higher CO2 solubility and higher volatile contents (and perhaps higher CO2/H2O ratio) in alkalic melts results in less fractionation between CO2 and H2O during volatile exsolution.","author":[{"dropping-particle":"","family":"Dixon","given":"Jacqueline Eaby","non-dropping-particle":"","parse-names":false,"suffix":""}],"container-title":"American Mineralogist","id":"ITEM-1","issue":"3-4","issued":{"date-parts":[["1997","3","1"]]},"page":"368-378","publisher":"Mineralogical Society of America","title":"Degassing of alkalic basalts","type":"article-journal","volume":"82"},"uris":["http://www.mendeley.com/documents/?uuid=494ad5a9-a87f-33b0-ba70-40a70659a8f3"]}],"mendeley":{"formattedCitation":"(Dixon, 1997)","manualFormatting":"Dixon (1997)","plainTextFormattedCitation":"(Dixon, 1997)","previouslyFormattedCitation":"(Dixon, 1997)"},"properties":{"noteIndex":0},"schema":"https://github.com/citation-style-language/schema/raw/master/csl-citation.json"}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Dixon (1997)</w:t>
            </w:r>
            <w:r w:rsidRPr="007C6C48">
              <w:rPr>
                <w:rFonts w:ascii="Roboto" w:hAnsi="Roboto"/>
                <w:color w:val="000000" w:themeColor="text1"/>
              </w:rPr>
              <w:fldChar w:fldCharType="end"/>
            </w:r>
            <w:r w:rsidRPr="007C6C48">
              <w:rPr>
                <w:rFonts w:ascii="Roboto" w:hAnsi="Roboto"/>
                <w:color w:val="000000" w:themeColor="text1"/>
              </w:rPr>
              <w:t xml:space="preserve">, which includes values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{"citationItems":[{"id":"ITEM-1","itemData":{"DOI":"10.1016/0016-7037(91)90130-W","ISSN":"00167037","abstract":"The solubility of carbon dioxide in tholeiitic melt (1921 Kilauea basalt ) was determined under experimental conditions of 1 kbar, 1200°C; 10 and 15 kbar and 1300-1600°C. We examined the solubility at pressure and temperature conditions intermediate to those reported in previous studies, and, in particular, we addressed the effect of temperature on carbon dioxide solubility. Two different carbon sources were used in the experiments, silver oxalate and a mixture of carbonate minerals, to examine the effects of dissolved silver on carbon dioxide solubility. Three analytical methods were employed to measure accurately and precisely the dissolved carbon in the run products: ( 1 ) Fourier transform micro-infrared spectroscopy, ( 2 ) secondary ion mass spectrometry, and ( 3 ) bulk carbon analysis with a Perkin Elmer Elemental Analyzer. The first two methods are micro-beam techniques which allowed for assessment of sample homogeneity. Consistent with previous solubility studies, infrared analyses showed that carbon is dissolved in basaltic melt in the form of carbonate. However, our experimental results differ from the previous solubility study in that we demonstrate carbon dioxide solubility is temperature independent. At 1 kbar and 1200°C, carbon dioxide solubility is 543 ppm; at 10 kbar and 1300, 1400, and 1500°C, carbon dioxide solubility is approximately 0.77 ± .07 wt%; and at 15 kbar and 1400, 1450, 1500, 1550, and 1600°C, the solubility is approximately 1.21 ± .13 wt%. Dissolved silver does not appear to affect the solubility. These results invalidate previous models for carbon dioxide solubility. We have developed a new model which describes the pressure and temperature dependence of carbon dioxide solubility for tholeiitic basalts. Regression of the solubility data for the reaction CO2vapor + O2-melt = CO32-melt gives a heat of solution (ΔH0 at 1 kbar and 1473 K) of 5.20 ± 4.30 kJ/mol and the change in partial molar volume ΔV0[CO32-melt- O2-melt of 23.14 ± 1.03 cm3/mol. Application of this model suggests that fluid-saturated partial melting of the MORB source region cannot be supported. © 1991.","author":[{"dropping-particle":"","family":"Pan","given":"Vivian","non-dropping-particle":"","parse-names":false,"suffix":""},{"dropping-particle":"","family":"Holloway","given":"John R.","non-dropping-particle":"","parse-names":false,"suffix":""},{"dropping-particle":"","family":"Hervig","given":"Richard L.","non-dropping-particle":"","parse-names":false,"suffix":""}],"container-title":"Geochimica et Cosmochimica Acta","id":"ITEM-1","issue":"6","issued":{"date-parts":[["1991","6","1"]]},"page":"1587-1595","publisher":"Pergamon","title":"The pressure and temperature dependence of carbon dioxide solubility in tholeiitic basalt melts","type":"article-journal","volume":"55"},"uris":["http://www.mendeley.com/documents/?uuid=97dfbdd1-a8a8-3c08-88d1-f6f0f32a1c34"]}],"mendeley":{"formattedCitation":"(Pan et al., 1991)","manualFormatting":"Pan et al. (1991)","plainTextFormattedCitation":"(Pan et al., 1991)","previouslyFormattedCitation":"(Pan et al., 1991)"},"properties":{"noteIndex":0},"schema":"https://github.com/citation-style-language/schema/raw/master/csl-citation.json"}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Pan et al. (1991)</w:t>
            </w:r>
            <w:r w:rsidRPr="007C6C48">
              <w:rPr>
                <w:rFonts w:ascii="Roboto" w:hAnsi="Roboto"/>
                <w:color w:val="000000" w:themeColor="text1"/>
              </w:rPr>
              <w:fldChar w:fldCharType="end"/>
            </w:r>
          </w:p>
        </w:tc>
      </w:tr>
      <w:tr w:rsidR="00025882" w:rsidRPr="007C6C48" w14:paraId="42A7D194" w14:textId="77777777" w:rsidTr="00841EAD">
        <w:tc>
          <w:tcPr>
            <w:tcW w:w="1136" w:type="dxa"/>
          </w:tcPr>
          <w:p w14:paraId="7A0A6F27" w14:textId="77777777" w:rsidR="00025882" w:rsidRPr="007C6C48" w:rsidRDefault="00025882" w:rsidP="00B061FC">
            <w:pPr>
              <w:pStyle w:val="NoSpacing"/>
              <w:spacing w:after="0"/>
              <w:rPr>
                <w:rFonts w:ascii="Roboto" w:hAnsi="Roboto"/>
                <w:color w:val="FF0000"/>
              </w:rPr>
            </w:pP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86" w:type="dxa"/>
          </w:tcPr>
          <w:p w14:paraId="7D572200"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w:t>
            </w:r>
          </w:p>
        </w:tc>
        <w:tc>
          <w:tcPr>
            <w:tcW w:w="959" w:type="dxa"/>
          </w:tcPr>
          <w:p w14:paraId="12C05D81"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269– 2059</w:t>
            </w:r>
          </w:p>
        </w:tc>
        <w:tc>
          <w:tcPr>
            <w:tcW w:w="1563" w:type="dxa"/>
          </w:tcPr>
          <w:p w14:paraId="78CFC8F2"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Basalt</w:t>
            </w:r>
          </w:p>
        </w:tc>
        <w:tc>
          <w:tcPr>
            <w:tcW w:w="1121" w:type="dxa"/>
          </w:tcPr>
          <w:p w14:paraId="55559B26" w14:textId="18C4DDC1"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565CD6C3" w14:textId="05C7996D"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lang w:val="fr-FR"/>
              </w:rPr>
              <w:t xml:space="preserve">Eq. (25, 26) from </w:t>
            </w:r>
            <w:r w:rsidRPr="007C6C48">
              <w:rPr>
                <w:rFonts w:ascii="Roboto" w:hAnsi="Roboto"/>
                <w:color w:val="000000" w:themeColor="text1"/>
              </w:rPr>
              <w:fldChar w:fldCharType="begin" w:fldLock="1"/>
            </w:r>
            <w:r w:rsidRPr="007C6C48">
              <w:rPr>
                <w:rFonts w:ascii="Roboto" w:hAnsi="Roboto"/>
                <w:color w:val="000000" w:themeColor="text1"/>
                <w:lang w:val="fr-FR"/>
              </w:rPr>
              <w:instrText>ADDIN CSL_CITATION {"citationItems":[{"id":"ITEM-1","itemData":{"DOI":"10.1007/s00410-010-0585-0","ISSN":"0010-7999","author":[{"dropping-particle":"","family":"Lesne","given":"Priscille","non-dropping-particle":"","parse-names":false,"suffix":""},{"dropping-particle":"","family":"Scaillet","given":"Bruno","non-dropping-particle":"","parse-names":false,"suffix":""},{"dropping-particle":"","family":"Pichavant","given":"Michel","non-dropping-particle":"","parse-names":false,"suffix":""},{"dropping-particle":"","family":"Brey","given":"G.P.","non-dropping-particle":"","parse-names":false,"suffix":""}],"container-title":"Contributions to Mineralogy and Petrology","id":"ITEM-1","issue":"1","issued":{"date-parts":[["2011","11","5"]]},"page":"153-168","title":"The carbon dioxide solubility in alkali basalts: an experimental study","type":"article-journal","volume":"162"},"uris":["http://www.mendeley.com/documents/?uuid=2aa0dfe2-96d7-4ada-8540-e4883ac584d0"]}],"mendeley":{"formattedCitation":"(Lesne et al., 2011)","manualFormatting":"Lesne et al. (2011a)","plainTextFormattedCitation":"(Lesne et al., 2011)","previouslyFormattedCitation":"(Lesne et al., 2011a)"},"properties":{"noteIndex":0},"schema":"https://github.com/citation-style-language/schema/raw/master/csl-citation.json"}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lang w:val="fr-FR"/>
              </w:rPr>
              <w:t xml:space="preserve">Lesne et al. </w:t>
            </w:r>
            <w:r w:rsidRPr="007C6C48">
              <w:rPr>
                <w:rFonts w:ascii="Roboto" w:hAnsi="Roboto"/>
                <w:noProof/>
                <w:color w:val="000000" w:themeColor="text1"/>
              </w:rPr>
              <w:t>(2011a)</w:t>
            </w:r>
            <w:r w:rsidRPr="007C6C48">
              <w:rPr>
                <w:rFonts w:ascii="Roboto" w:hAnsi="Roboto"/>
                <w:color w:val="000000" w:themeColor="text1"/>
              </w:rPr>
              <w:fldChar w:fldCharType="end"/>
            </w:r>
          </w:p>
        </w:tc>
      </w:tr>
      <w:tr w:rsidR="00025882" w:rsidRPr="007C6C48" w14:paraId="5F22CB17" w14:textId="77777777" w:rsidTr="00841EAD">
        <w:tc>
          <w:tcPr>
            <w:tcW w:w="1136" w:type="dxa"/>
          </w:tcPr>
          <w:p w14:paraId="3B1FF355" w14:textId="77777777" w:rsidR="00025882" w:rsidRPr="007C6C48" w:rsidRDefault="00025882" w:rsidP="00B061FC">
            <w:pPr>
              <w:pStyle w:val="NoSpacing"/>
              <w:spacing w:after="0"/>
              <w:rPr>
                <w:rFonts w:ascii="Roboto" w:hAnsi="Roboto"/>
                <w:color w:val="FF0000"/>
              </w:rPr>
            </w:pPr>
            <w:r w:rsidRPr="007C6C48">
              <w:rPr>
                <w:rFonts w:ascii="Roboto" w:hAnsi="Roboto"/>
                <w:i/>
                <w:iCs/>
                <w:color w:val="000000" w:themeColor="text1"/>
              </w:rPr>
              <w:t>P</w:t>
            </w:r>
          </w:p>
        </w:tc>
        <w:tc>
          <w:tcPr>
            <w:tcW w:w="886" w:type="dxa"/>
          </w:tcPr>
          <w:p w14:paraId="53C6D22E"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w:t>
            </w:r>
          </w:p>
        </w:tc>
        <w:tc>
          <w:tcPr>
            <w:tcW w:w="959" w:type="dxa"/>
          </w:tcPr>
          <w:p w14:paraId="0D7A016F" w14:textId="77777777" w:rsidR="00025882" w:rsidRPr="007C6C48" w:rsidRDefault="00025882" w:rsidP="00B061FC">
            <w:pPr>
              <w:pStyle w:val="NoSpacing"/>
              <w:spacing w:after="0"/>
              <w:jc w:val="right"/>
              <w:rPr>
                <w:rFonts w:ascii="Roboto" w:hAnsi="Roboto"/>
                <w:color w:val="FF0000"/>
              </w:rPr>
            </w:pPr>
            <w:r w:rsidRPr="007C6C48">
              <w:rPr>
                <w:rFonts w:ascii="Roboto" w:hAnsi="Roboto"/>
                <w:color w:val="000000" w:themeColor="text1"/>
              </w:rPr>
              <w:t>269– 2059</w:t>
            </w:r>
          </w:p>
        </w:tc>
        <w:tc>
          <w:tcPr>
            <w:tcW w:w="1563" w:type="dxa"/>
          </w:tcPr>
          <w:p w14:paraId="1C95C72F"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Alkali basalt (Vesuvius)</w:t>
            </w:r>
          </w:p>
        </w:tc>
        <w:tc>
          <w:tcPr>
            <w:tcW w:w="1121" w:type="dxa"/>
          </w:tcPr>
          <w:p w14:paraId="0E348F0F" w14:textId="0FFB869A"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390710F8" w14:textId="502DF59E"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VES-9 in Table 4 from</w:t>
            </w:r>
            <w:r w:rsidRPr="007C6C48">
              <w:rPr>
                <w:rFonts w:ascii="Roboto" w:hAnsi="Roboto"/>
                <w:color w:val="0070C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-010-0585-0","ISSN":"0010-7999","author":[{"dropping-particle":"","family":"Lesne","given":"Priscille","non-dropping-particle":"","parse-names":false,"suffix":""},{"dropping-particle":"","family":"Scaillet","given":"Bruno","non-dropping-particle":"","parse-names":false,"suffix":""},{"dropping-particle":"","family":"Pichavant","given":"Michel","non-dropping-particle":"","parse-names":false,"suffix":""},{"dropping-particle":"","family":"Brey","given":"G.P.","non-dropping-particle":"","parse-names":false,"suffix":""}],"container-title":"Contributions to Mineralogy and Petrology","id":"ITEM-1","issue":"1","issued":{"date-parts":[["2011","11","5"]]},"page":"153-168","title":"The carbon dioxide solubility in alkali basalts: an experimental study","type":"article-journal","volume":"162"},"uris":["http://www.mendeley.com/documents/?uuid=2aa0dfe2-96d7-4ada-8540-e4883ac584d0"]}],"mendeley":{"formattedCitation":"(Lesne et al., 2011)","manualFormatting":"Lesne et al. (2011a)","plainTextFormattedCitation":"(Lesne et al., 2011)","previouslyFormattedCitation":"(Lesne et al., 2011a)"},"properties":{"noteIndex":0},"schema":"https://github.com/citation-style-language/schema/raw/master/csl-citation.json"}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Lesne et al. (2011a)</w:t>
            </w:r>
            <w:r w:rsidRPr="007C6C48">
              <w:rPr>
                <w:rFonts w:ascii="Roboto" w:hAnsi="Roboto"/>
                <w:color w:val="000000" w:themeColor="text1"/>
              </w:rPr>
              <w:fldChar w:fldCharType="end"/>
            </w:r>
          </w:p>
        </w:tc>
      </w:tr>
      <w:tr w:rsidR="00025882" w:rsidRPr="007C6C48" w14:paraId="1606585D" w14:textId="77777777" w:rsidTr="00841EAD">
        <w:tc>
          <w:tcPr>
            <w:tcW w:w="1136" w:type="dxa"/>
          </w:tcPr>
          <w:p w14:paraId="54D618C1" w14:textId="77777777" w:rsidR="00025882" w:rsidRPr="007C6C48" w:rsidRDefault="00025882" w:rsidP="00B061FC">
            <w:pPr>
              <w:pStyle w:val="NoSpacing"/>
              <w:spacing w:after="0"/>
              <w:rPr>
                <w:rFonts w:ascii="Roboto" w:hAnsi="Roboto"/>
                <w:color w:val="FF0000"/>
              </w:rPr>
            </w:pPr>
            <w:r w:rsidRPr="007C6C48">
              <w:rPr>
                <w:rFonts w:ascii="Roboto" w:hAnsi="Roboto"/>
                <w:i/>
                <w:iCs/>
                <w:color w:val="000000" w:themeColor="text1"/>
              </w:rPr>
              <w:t>P</w:t>
            </w:r>
          </w:p>
        </w:tc>
        <w:tc>
          <w:tcPr>
            <w:tcW w:w="886" w:type="dxa"/>
          </w:tcPr>
          <w:p w14:paraId="3480976E"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w:t>
            </w:r>
          </w:p>
        </w:tc>
        <w:tc>
          <w:tcPr>
            <w:tcW w:w="959" w:type="dxa"/>
          </w:tcPr>
          <w:p w14:paraId="443E1F57" w14:textId="77777777" w:rsidR="00025882" w:rsidRPr="007C6C48" w:rsidRDefault="00025882" w:rsidP="00B061FC">
            <w:pPr>
              <w:pStyle w:val="NoSpacing"/>
              <w:spacing w:after="0"/>
              <w:jc w:val="right"/>
              <w:rPr>
                <w:rFonts w:ascii="Roboto" w:hAnsi="Roboto"/>
                <w:color w:val="FF0000"/>
              </w:rPr>
            </w:pPr>
            <w:r w:rsidRPr="007C6C48">
              <w:rPr>
                <w:rFonts w:ascii="Roboto" w:hAnsi="Roboto"/>
                <w:color w:val="000000" w:themeColor="text1"/>
              </w:rPr>
              <w:t>269– 2059</w:t>
            </w:r>
          </w:p>
        </w:tc>
        <w:tc>
          <w:tcPr>
            <w:tcW w:w="1563" w:type="dxa"/>
          </w:tcPr>
          <w:p w14:paraId="1E453848"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Alkali basalt (Etna)</w:t>
            </w:r>
          </w:p>
        </w:tc>
        <w:tc>
          <w:tcPr>
            <w:tcW w:w="1121" w:type="dxa"/>
          </w:tcPr>
          <w:p w14:paraId="4F3331D1" w14:textId="34D97B3A"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608CD64E" w14:textId="1160F211" w:rsidR="00025882" w:rsidRPr="007C6C48" w:rsidRDefault="00025882" w:rsidP="00B061FC">
            <w:pPr>
              <w:pStyle w:val="NoSpacing"/>
              <w:spacing w:after="0"/>
              <w:rPr>
                <w:rFonts w:ascii="Roboto" w:hAnsi="Roboto"/>
                <w:color w:val="FF0000"/>
                <w:highlight w:val="yellow"/>
              </w:rPr>
            </w:pPr>
            <w:r w:rsidRPr="007C6C48">
              <w:rPr>
                <w:rFonts w:ascii="Roboto" w:hAnsi="Roboto"/>
                <w:color w:val="000000" w:themeColor="text1"/>
              </w:rPr>
              <w:t xml:space="preserve">ETN-1 in Table 4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-010-0585-0","ISSN":"0010-7999","author":[{"dropping-particle":"","family":"Lesne","given":"Priscille","non-dropping-particle":"","parse-names":false,"suffix":""},{"dropping-particle":"","family":"Scaillet","given":"Bruno","non-dropping-particle":"","parse-names":false,"suffix":""},{"dropping-particle":"","family":"Pichavant","given":"Michel","non-dropping-particle":"","parse-names":false,"suffix":""},{"dropping-particle":"","family":"Brey","given":"G.P.","non-dropping-particle":"","parse-names":false,"suffix":""}],"container-title":"Contributions to Mineralogy and Petrology","id":"ITEM-1","issue":"1","issued":{"date-parts":[["2011","11","5"]]},"page":"153-168","title":"The carbon dioxide solubility in alkali basalts: an experimental study","type":"article-journal","volume":"162"},"uris":["http://www.mendeley.com/documents/?uuid=2aa0dfe2-96d7-4ada-8540-e4883ac584d0"]}],"mendeley":{"formattedCitation":"(Lesne et al., 2011)","manualFormatting":"Lesne et al. (2011a)","plainTextFormattedCitation":"(Lesne et al., 2011)","previouslyFormattedCitation":"(Lesne et al., 2011a)"},"properties":{"noteIndex":0},"schema":"https://github.com/citation-style-language/schema/raw/master/csl-citation.json"}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Lesne et al. (2011a)</w:t>
            </w:r>
            <w:r w:rsidRPr="007C6C48">
              <w:rPr>
                <w:rFonts w:ascii="Roboto" w:hAnsi="Roboto"/>
                <w:color w:val="000000" w:themeColor="text1"/>
              </w:rPr>
              <w:fldChar w:fldCharType="end"/>
            </w:r>
          </w:p>
        </w:tc>
      </w:tr>
      <w:tr w:rsidR="00025882" w:rsidRPr="007C6C48" w14:paraId="21F7C601" w14:textId="77777777" w:rsidTr="00841EAD">
        <w:tc>
          <w:tcPr>
            <w:tcW w:w="1136" w:type="dxa"/>
          </w:tcPr>
          <w:p w14:paraId="0C789C17" w14:textId="77777777" w:rsidR="00025882" w:rsidRPr="007C6C48" w:rsidRDefault="00025882" w:rsidP="00B061FC">
            <w:pPr>
              <w:pStyle w:val="NoSpacing"/>
              <w:spacing w:after="0"/>
              <w:rPr>
                <w:rFonts w:ascii="Roboto" w:hAnsi="Roboto"/>
                <w:color w:val="FF0000"/>
              </w:rPr>
            </w:pPr>
            <w:r w:rsidRPr="007C6C48">
              <w:rPr>
                <w:rFonts w:ascii="Roboto" w:hAnsi="Roboto"/>
                <w:i/>
                <w:iCs/>
                <w:color w:val="000000" w:themeColor="text1"/>
              </w:rPr>
              <w:t>P</w:t>
            </w:r>
          </w:p>
        </w:tc>
        <w:tc>
          <w:tcPr>
            <w:tcW w:w="886" w:type="dxa"/>
          </w:tcPr>
          <w:p w14:paraId="0A08C998"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w:t>
            </w:r>
          </w:p>
        </w:tc>
        <w:tc>
          <w:tcPr>
            <w:tcW w:w="959" w:type="dxa"/>
          </w:tcPr>
          <w:p w14:paraId="0E2A7848" w14:textId="77777777" w:rsidR="00025882" w:rsidRPr="007C6C48" w:rsidRDefault="00025882" w:rsidP="00B061FC">
            <w:pPr>
              <w:pStyle w:val="NoSpacing"/>
              <w:spacing w:after="0"/>
              <w:jc w:val="right"/>
              <w:rPr>
                <w:rFonts w:ascii="Roboto" w:hAnsi="Roboto"/>
                <w:color w:val="FF0000"/>
              </w:rPr>
            </w:pPr>
            <w:r w:rsidRPr="007C6C48">
              <w:rPr>
                <w:rFonts w:ascii="Roboto" w:hAnsi="Roboto"/>
                <w:color w:val="000000" w:themeColor="text1"/>
              </w:rPr>
              <w:t>269– 2059</w:t>
            </w:r>
          </w:p>
        </w:tc>
        <w:tc>
          <w:tcPr>
            <w:tcW w:w="1563" w:type="dxa"/>
          </w:tcPr>
          <w:p w14:paraId="0E550E24"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Alkali basalt (Stromboli)</w:t>
            </w:r>
          </w:p>
        </w:tc>
        <w:tc>
          <w:tcPr>
            <w:tcW w:w="1121" w:type="dxa"/>
          </w:tcPr>
          <w:p w14:paraId="1554A215" w14:textId="69C09D21"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700C4674" w14:textId="7A0B0F3D" w:rsidR="00025882" w:rsidRPr="007C6C48" w:rsidRDefault="00025882" w:rsidP="00B061FC">
            <w:pPr>
              <w:pStyle w:val="NoSpacing"/>
              <w:spacing w:after="0"/>
              <w:rPr>
                <w:rFonts w:ascii="Roboto" w:hAnsi="Roboto"/>
                <w:color w:val="FF0000"/>
                <w:highlight w:val="yellow"/>
              </w:rPr>
            </w:pPr>
            <w:r w:rsidRPr="007C6C48">
              <w:rPr>
                <w:rFonts w:ascii="Roboto" w:hAnsi="Roboto"/>
                <w:color w:val="000000" w:themeColor="text1"/>
              </w:rPr>
              <w:t xml:space="preserve">PST-9 in Table 4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-010-0585-0","ISSN":"0010-7999","author":[{"dropping-particle":"","family":"Lesne","given":"Priscille","non-dropping-particle":"","parse-names":false,"suffix":""},{"dropping-particle":"","family":"Scaillet","given":"Bruno","non-dropping-particle":"","parse-names":false,"suffix":""},{"dropping-particle":"","family":"Pichavant","given":"Michel","non-dropping-particle":"","parse-names":false,"suffix":""},{"dropping-particle":"","family":"Brey","given":"G.P.","non-dropping-particle":"","parse-names":false,"suffix":""}],"container-title":"Contributions to Mineralogy and Petrology","id":"ITEM-1","issue":"1","issued":{"date-parts":[["2011","11","5"]]},"page":"153-168","title":"The carbon dioxide solubility in alkali basalts: an experimental study","type":"article-journal","volume":"162"},"uris":["http://www.mendeley.com/documents/?uuid=2aa0dfe2-96d7-4ada-8540-e4883ac584d0"]}],"mendeley":{"formattedCitation":"(Lesne et al., 2011)","manualFormatting":"Lesne et al. (2011a)","plainTextFormattedCitation":"(Lesne et al., 2011)","previouslyFormattedCitation":"(Lesne et al., 2011a)"},"properties":{"noteIndex":0},"schema":"https://github.com/citation-style-language/schema/raw/master/csl-citation.json"}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Lesne et al. (2011a)</w:t>
            </w:r>
            <w:r w:rsidRPr="007C6C48">
              <w:rPr>
                <w:rFonts w:ascii="Roboto" w:hAnsi="Roboto"/>
                <w:color w:val="000000" w:themeColor="text1"/>
              </w:rPr>
              <w:fldChar w:fldCharType="end"/>
            </w:r>
          </w:p>
        </w:tc>
      </w:tr>
      <w:tr w:rsidR="00025882" w:rsidRPr="007C6C48" w14:paraId="0CB9F507" w14:textId="77777777" w:rsidTr="00841EAD">
        <w:tc>
          <w:tcPr>
            <w:tcW w:w="1136" w:type="dxa"/>
          </w:tcPr>
          <w:p w14:paraId="72786D7D" w14:textId="77777777" w:rsidR="00025882" w:rsidRPr="007C6C48" w:rsidRDefault="00025882" w:rsidP="00B061FC">
            <w:pPr>
              <w:pStyle w:val="NoSpacing"/>
              <w:spacing w:after="0"/>
              <w:rPr>
                <w:rFonts w:ascii="Roboto" w:hAnsi="Roboto"/>
                <w:i/>
                <w:iCs/>
                <w:color w:val="000000" w:themeColor="text1"/>
              </w:rPr>
            </w:pPr>
            <w:r w:rsidRPr="007C6C48">
              <w:rPr>
                <w:rFonts w:ascii="Roboto" w:hAnsi="Roboto"/>
                <w:i/>
                <w:iCs/>
                <w:color w:val="000000" w:themeColor="text1"/>
              </w:rPr>
              <w:t>P, T</w:t>
            </w:r>
          </w:p>
        </w:tc>
        <w:tc>
          <w:tcPr>
            <w:tcW w:w="886" w:type="dxa"/>
          </w:tcPr>
          <w:p w14:paraId="110D3931"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w:t>
            </w:r>
          </w:p>
        </w:tc>
        <w:tc>
          <w:tcPr>
            <w:tcW w:w="959" w:type="dxa"/>
          </w:tcPr>
          <w:p w14:paraId="4357CC1E"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10000–20000 </w:t>
            </w:r>
          </w:p>
        </w:tc>
        <w:tc>
          <w:tcPr>
            <w:tcW w:w="1563" w:type="dxa"/>
          </w:tcPr>
          <w:p w14:paraId="1A3E6109"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Basanite</w:t>
            </w:r>
          </w:p>
        </w:tc>
        <w:tc>
          <w:tcPr>
            <w:tcW w:w="1121" w:type="dxa"/>
          </w:tcPr>
          <w:p w14:paraId="0B437964" w14:textId="2725D26E"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661D4A58" w14:textId="133B2AAF" w:rsidR="00025882" w:rsidRPr="007C6C48" w:rsidRDefault="00025882" w:rsidP="00B061FC">
            <w:pPr>
              <w:pStyle w:val="NoSpacing"/>
              <w:spacing w:after="0"/>
              <w:rPr>
                <w:rFonts w:ascii="Roboto" w:hAnsi="Roboto"/>
                <w:color w:val="000000" w:themeColor="text1"/>
                <w:highlight w:val="yellow"/>
              </w:rPr>
            </w:pPr>
            <w:r w:rsidRPr="007C6C48">
              <w:rPr>
                <w:rFonts w:ascii="Roboto" w:hAnsi="Roboto"/>
                <w:color w:val="000000" w:themeColor="text1"/>
              </w:rPr>
              <w:t xml:space="preserve">Basanite in Table 5 of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{"citationItems":[{"id":"ITEM-1","itemData":{"author":[{"dropping-particle":"","family":"Holloway","given":"John R.","non-dropping-particle":"","parse-names":false,"suffix":""},{"dropping-particle":"","family":"Blank","given":"J. G.","non-dropping-particle":"","parse-names":false,"suffix":""}],"container-title":"Reviews in Mineralogy and Geochemistry1","id":"ITEM-1","issued":{"date-parts":[["1994"]]},"page":"187-230","title":"Application of experimental results to C-O-H species in natural melts","type":"article-journal","volume":"30"},"uris":["http://www.mendeley.com/documents/?uuid=684bbec2-0718-420b-822b-63267b10a84a"]}],"mendeley":{"formattedCitation":"(Holloway and Blank, 1994)","manualFormatting":"Holloway and Blank,(1994)","plainTextFormattedCitation":"(Holloway and Blank, 1994)","previouslyFormattedCitation":"(Holloway and Blank, 1994)"},"properties":{"noteIndex":0},"schema":"https://github.com/citation-style-language/schema/raw/master/csl-citation.json"}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Holloway and Blank</w:t>
            </w:r>
            <w:r w:rsidR="00370488" w:rsidRPr="007C6C48">
              <w:rPr>
                <w:rFonts w:ascii="Roboto" w:hAnsi="Roboto"/>
                <w:noProof/>
                <w:color w:val="000000" w:themeColor="text1"/>
              </w:rPr>
              <w:t xml:space="preserve"> </w:t>
            </w:r>
            <w:r w:rsidRPr="007C6C48">
              <w:rPr>
                <w:rFonts w:ascii="Roboto" w:hAnsi="Roboto"/>
                <w:noProof/>
                <w:color w:val="000000" w:themeColor="text1"/>
              </w:rPr>
              <w:t>(1994)</w:t>
            </w:r>
            <w:r w:rsidRPr="007C6C48">
              <w:rPr>
                <w:rFonts w:ascii="Roboto" w:hAnsi="Roboto"/>
                <w:color w:val="000000" w:themeColor="text1"/>
              </w:rPr>
              <w:fldChar w:fldCharType="end"/>
            </w:r>
            <w:r w:rsidRPr="007C6C48">
              <w:rPr>
                <w:rFonts w:ascii="Roboto" w:hAnsi="Roboto"/>
                <w:color w:val="000000" w:themeColor="text1"/>
              </w:rPr>
              <w:t xml:space="preserve"> </w:t>
            </w:r>
          </w:p>
        </w:tc>
      </w:tr>
      <w:tr w:rsidR="00025882" w:rsidRPr="007C6C48" w14:paraId="131C5234" w14:textId="77777777" w:rsidTr="00841EAD">
        <w:tc>
          <w:tcPr>
            <w:tcW w:w="1136" w:type="dxa"/>
          </w:tcPr>
          <w:p w14:paraId="54F9C5F7" w14:textId="77777777" w:rsidR="00025882" w:rsidRPr="007C6C48" w:rsidRDefault="00025882" w:rsidP="00B061FC">
            <w:pPr>
              <w:pStyle w:val="NoSpacing"/>
              <w:spacing w:after="0"/>
              <w:rPr>
                <w:rFonts w:ascii="Roboto" w:hAnsi="Roboto"/>
                <w:i/>
                <w:iCs/>
                <w:color w:val="000000" w:themeColor="text1"/>
              </w:rPr>
            </w:pPr>
            <w:r w:rsidRPr="007C6C48">
              <w:rPr>
                <w:rFonts w:ascii="Roboto" w:hAnsi="Roboto"/>
                <w:i/>
                <w:iCs/>
                <w:color w:val="000000" w:themeColor="text1"/>
              </w:rPr>
              <w:t>P, T</w:t>
            </w:r>
          </w:p>
        </w:tc>
        <w:tc>
          <w:tcPr>
            <w:tcW w:w="886" w:type="dxa"/>
          </w:tcPr>
          <w:p w14:paraId="0D2C65F5"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1200–1600</w:t>
            </w:r>
          </w:p>
        </w:tc>
        <w:tc>
          <w:tcPr>
            <w:tcW w:w="959" w:type="dxa"/>
          </w:tcPr>
          <w:p w14:paraId="7B501795"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1000–20000 </w:t>
            </w:r>
          </w:p>
        </w:tc>
        <w:tc>
          <w:tcPr>
            <w:tcW w:w="1563" w:type="dxa"/>
          </w:tcPr>
          <w:p w14:paraId="4AA59614"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Leucitite</w:t>
            </w:r>
          </w:p>
        </w:tc>
        <w:tc>
          <w:tcPr>
            <w:tcW w:w="1121" w:type="dxa"/>
          </w:tcPr>
          <w:p w14:paraId="02912156" w14:textId="32A031C3"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3351" w:type="dxa"/>
          </w:tcPr>
          <w:p w14:paraId="4D7B6D48" w14:textId="3694B92F" w:rsidR="00025882" w:rsidRPr="007C6C48" w:rsidRDefault="00025882" w:rsidP="00B061FC">
            <w:pPr>
              <w:pStyle w:val="NoSpacing"/>
              <w:spacing w:after="0"/>
              <w:rPr>
                <w:rFonts w:ascii="Roboto" w:hAnsi="Roboto"/>
                <w:color w:val="0070C0"/>
                <w:highlight w:val="yellow"/>
              </w:rPr>
            </w:pP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{"citationItems":[{"id":"ITEM-1","itemData":{"DOI":"10.1007/BF00310701/METRICS","ISSN":"00107999","abstract":"The solubility of carbon dioxide in a Ca-rich leucitite has been investigated as a function of pressure (0.1-2.0 GPa), temperature (1200-1600°C), and oxygen fugacity. The experiments were done in a rapid-quench internally-heated pressure vessel (0.1 GPa) and a piston cylinder (0.5-2.0 GPa). The leucitite glass, previously equilibrated at NNO, and silver oxalate were loaded in Fe-doped Pt capsules (oxidized conditions) and graphitelined Pt capsules (reduced conditions). Secondary Ion Mass Spectrometry and bulk carbon analyses were used to determine the amount of dissolved carbon. Speciation of carbon was characterized by Fourier transform microinfrared spectroscopy. At oxidized conditions, only CO32- is observed as a dissolved species. The solubility is high with CO2 contents in the melt attaining 6.2 wt% at 2.0 GPa and 1350°C. The solubility increases with pressure and shows a significant negative temperature dependence. An excellent correlation is obtained when the data are fit to a model, based on the simplified solubility reaction CO2(vapor)+O2-(melt)</w:instrText>
            </w:r>
            <w:r w:rsidRPr="007C6C48">
              <w:rPr>
                <w:rFonts w:ascii="Cambria Math" w:hAnsi="Cambria Math" w:cs="Cambria Math"/>
                <w:color w:val="000000" w:themeColor="text1"/>
              </w:rPr>
              <w:instrText>⇒</w:instrText>
            </w:r>
            <w:r w:rsidRPr="007C6C48">
              <w:rPr>
                <w:rFonts w:ascii="Roboto" w:hAnsi="Roboto"/>
                <w:color w:val="000000" w:themeColor="text1"/>
              </w:rPr>
              <w:instrText>CO32-(melt), which describes the solubility of CO2 as a function of pressure, temperature and fCO2. At reduced conditions, the amount of carbon dissolved is significantly lower, and CO32- is still the only species present in the melt. If the solubility model established at oxidized conditions is applied, the carbon dissolved appears to be essentially a function of fCO2 alone although divergence increases in a consistent manner with pressure and temperature. This could suggest a low but significant solubility of CO with a positive temperature dependence or a departure of the calculated fluid compositions determined by the equation of state from the actual ones. The strong preferential solubility of carbon in its oxidized C4+ form, even at reduced conditions, implies that ascending melts with high CO2 solubility can experience significant oxidation through degassing. This could reconcile the oxidized nature of some Ca-rich alkaline magmas with more reduced mantle source regions. © 1994 Springer-Verlag.","author":[{"dropping-particle":"","family":"Thibault","given":"Yves","non-dropping-particle":"","parse-names":false,"suffix":""},{"dropping-particle":"","family":"Holloway","given":"John R.","non-dropping-particle":"","parse-names":false,"suffix":""}],"container-title":"Contributions to Mineralogy and Petrology","id":"ITEM-1","issue":"1-2","issued":{"date-parts":[["1994","3"]]},"page":"216-224","publisher":"Springer-Verlag","title":"Solubility of CO2 in a Ca-rich leucitite: effects of pressure, temperature, and oxygen fugacity","type":"article-journal","volume":"116"},"uris":["http://www.mendeley.com/documents/?uuid=5dbd0ad4-5cb8-3a6a-ab0e-1b7e110de724"]}],"mendeley":{"formattedCitation":"(Thibault and Holloway, 1994)","manualFormatting":"Thibault and Holloway (1994)","plainTextFormattedCitation":"(Thibault and Holloway, 1994)","previouslyFormattedCitation":"(Thibault and Holloway, 1994)"},"properties":{"noteIndex":0},"schema":"https://github.com/citation-style-language/schema/raw/master/csl-citation.json"}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Thibault and Holloway (1994)</w:t>
            </w:r>
            <w:r w:rsidRPr="007C6C48">
              <w:rPr>
                <w:rFonts w:ascii="Roboto" w:hAnsi="Roboto"/>
                <w:color w:val="0070C0"/>
              </w:rPr>
              <w:fldChar w:fldCharType="end"/>
            </w:r>
          </w:p>
        </w:tc>
      </w:tr>
      <w:tr w:rsidR="00025882" w:rsidRPr="007C6C48" w14:paraId="42DF1463" w14:textId="77777777" w:rsidTr="00841EAD">
        <w:trPr>
          <w:trHeight w:val="562"/>
        </w:trPr>
        <w:tc>
          <w:tcPr>
            <w:tcW w:w="1136" w:type="dxa"/>
            <w:tcBorders>
              <w:bottom w:val="single" w:sz="8" w:space="0" w:color="auto"/>
            </w:tcBorders>
          </w:tcPr>
          <w:p w14:paraId="72EAE86E" w14:textId="77777777" w:rsidR="00025882" w:rsidRPr="007C6C48" w:rsidRDefault="00025882" w:rsidP="00B061FC">
            <w:pPr>
              <w:pStyle w:val="NoSpacing"/>
              <w:spacing w:after="0"/>
              <w:rPr>
                <w:rFonts w:ascii="Roboto" w:hAnsi="Roboto"/>
                <w:i/>
                <w:iCs/>
                <w:color w:val="000000" w:themeColor="text1"/>
              </w:rPr>
            </w:pPr>
            <w:r w:rsidRPr="007C6C48">
              <w:rPr>
                <w:rFonts w:ascii="Roboto" w:hAnsi="Roboto"/>
                <w:i/>
                <w:iCs/>
                <w:color w:val="000000" w:themeColor="text1"/>
              </w:rPr>
              <w:t>P, T</w:t>
            </w:r>
          </w:p>
        </w:tc>
        <w:tc>
          <w:tcPr>
            <w:tcW w:w="886" w:type="dxa"/>
            <w:tcBorders>
              <w:bottom w:val="single" w:sz="8" w:space="0" w:color="auto"/>
            </w:tcBorders>
          </w:tcPr>
          <w:p w14:paraId="38E3BB79"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750–1150</w:t>
            </w:r>
          </w:p>
        </w:tc>
        <w:tc>
          <w:tcPr>
            <w:tcW w:w="959" w:type="dxa"/>
            <w:tcBorders>
              <w:bottom w:val="single" w:sz="8" w:space="0" w:color="auto"/>
            </w:tcBorders>
          </w:tcPr>
          <w:p w14:paraId="139BE002"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200–6600</w:t>
            </w:r>
          </w:p>
        </w:tc>
        <w:tc>
          <w:tcPr>
            <w:tcW w:w="1563" w:type="dxa"/>
            <w:tcBorders>
              <w:bottom w:val="single" w:sz="8" w:space="0" w:color="auto"/>
            </w:tcBorders>
          </w:tcPr>
          <w:p w14:paraId="5DED7867"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Rhyolite</w:t>
            </w:r>
          </w:p>
        </w:tc>
        <w:tc>
          <w:tcPr>
            <w:tcW w:w="1121" w:type="dxa"/>
            <w:tcBorders>
              <w:bottom w:val="single" w:sz="8" w:space="0" w:color="auto"/>
            </w:tcBorders>
          </w:tcPr>
          <w:p w14:paraId="501D5E90" w14:textId="69CD7B93" w:rsidR="00025882"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 xml:space="preserve">Their </w:t>
            </w:r>
            <w:r w:rsidR="009142E1" w:rsidRPr="007C6C48">
              <w:rPr>
                <w:rFonts w:ascii="Roboto" w:hAnsi="Roboto"/>
                <w:color w:val="000000" w:themeColor="text1"/>
              </w:rPr>
              <w:t>Figure 2</w:t>
            </w:r>
          </w:p>
        </w:tc>
        <w:tc>
          <w:tcPr>
            <w:tcW w:w="3351" w:type="dxa"/>
            <w:tcBorders>
              <w:bottom w:val="single" w:sz="8" w:space="0" w:color="auto"/>
            </w:tcBorders>
          </w:tcPr>
          <w:p w14:paraId="7A30F2C9" w14:textId="5FE132CB"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Fig</w:t>
            </w:r>
            <w:r w:rsidR="00370488" w:rsidRPr="007C6C48">
              <w:rPr>
                <w:rFonts w:ascii="Roboto" w:hAnsi="Roboto"/>
                <w:color w:val="000000" w:themeColor="text1"/>
              </w:rPr>
              <w:t>ure</w:t>
            </w:r>
            <w:r w:rsidRPr="007C6C48">
              <w:rPr>
                <w:rFonts w:ascii="Roboto" w:hAnsi="Roboto"/>
                <w:color w:val="000000" w:themeColor="text1"/>
              </w:rPr>
              <w:t xml:space="preserve"> 2 caption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Letters","id":"ITEM-1","issue":"1-2","issued":{"date-parts":[["1993","8","1"]]},"page":"27-36","publisher":"Elsevier","title":"Solubilities of carbon dioxide and water in rhyolitic melt at 850°C and 750 bars","type":"article-journal","volume":"119"},"uris":["http://www.mendeley.com/documents/?uuid=de062b80-3b0f-3519-9580-a70f60d20275"]}],"mendeley":{"formattedCitation":"(Blank et al., 1993b)","manualFormatting":"Blank et al. (1993)","plainTextFormattedCitation":"(Blank et al., 1993b)","previouslyFormattedCitation":"(Blank et al., 1993b)"},"properties":{"noteIndex":0},"schema":"https://github.com/citation-style-language/schema/raw/master/csl-citation.json"}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Blank et al. (1993)</w:t>
            </w:r>
            <w:r w:rsidRPr="007C6C48">
              <w:rPr>
                <w:rFonts w:ascii="Roboto" w:hAnsi="Roboto"/>
                <w:color w:val="000000" w:themeColor="text1"/>
              </w:rPr>
              <w:fldChar w:fldCharType="end"/>
            </w:r>
            <w:r w:rsidRPr="007C6C48">
              <w:rPr>
                <w:rFonts w:ascii="Roboto" w:hAnsi="Roboto"/>
                <w:color w:val="000000" w:themeColor="text1"/>
              </w:rPr>
              <w:t xml:space="preserve">, based on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{"citationItems":[{"id":"ITEM-1","itemData":{"author":[{"dropping-particle":"","family":"Blank","given":"J. G.","non-dropping-particle":"","parse-names":false,"suffix":""}],"id":"ITEM-1","issued":{"date-parts":[["1993"]]},"publisher":"California Institute of Technology","title":"An experimental investigation of the behaviour of carbon dioxide in rhyolitic melt","type":"thesis"},"uris":["http://www.mendeley.com/documents/?uuid=a0c285e7-f445-4a31-817d-37c6f7b4f448"]}],"mendeley":{"formattedCitation":"(Blank, 1993)","manualFormatting":"Blank (1993)","plainTextFormattedCitation":"(Blank, 1993)","previouslyFormattedCitation":"(Blank, 1993)"},"properties":{"noteIndex":0},"schema":"https://github.com/citation-style-language/schema/raw/master/csl-citation.json"}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Blank (1993)</w:t>
            </w:r>
            <w:r w:rsidRPr="007C6C48">
              <w:rPr>
                <w:rFonts w:ascii="Roboto" w:hAnsi="Roboto"/>
                <w:color w:val="000000" w:themeColor="text1"/>
              </w:rPr>
              <w:fldChar w:fldCharType="end"/>
            </w:r>
            <w:r w:rsidRPr="007C6C48">
              <w:rPr>
                <w:rFonts w:ascii="Roboto" w:hAnsi="Roboto"/>
                <w:color w:val="0070C0"/>
              </w:rPr>
              <w:t xml:space="preserve"> </w:t>
            </w:r>
            <w:r w:rsidRPr="007C6C48">
              <w:rPr>
                <w:rFonts w:ascii="Roboto" w:hAnsi="Roboto"/>
                <w:color w:val="000000" w:themeColor="text1"/>
              </w:rPr>
              <w:t xml:space="preserve">and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{"citationItems":[{"id":"ITEM-1","itemData":{"author":[{"dropping-particle":"","family":"Fogel","given":"Robert A.","non-dropping-particle":"","parse-names":false,"suffix":""},{"dropping-particle":"","family":"Rutherford","given":"Malcolm J.","non-dropping-particle":"","parse-names":false,"suffix":""}],"container-title":"American Mineralogist","id":"ITEM-1","issue":"11-12","issued":{"date-parts":[["1990"]]},"page":"1311–1326","title":"The solubility of carbon dioxide in rhyolitic melts; a quantitative FTIR study","type":"article-journal","volume":"75"},"uris":["http://www.mendeley.com/documents/?uuid=0e08c60c-32c8-40a8-a39e-5bfc593b8bb6"]}],"mendeley":{"formattedCitation":"(Fogel and Rutherford, 1990)","manualFormatting":"Fogel and Rutherford (1990)","plainTextFormattedCitation":"(Fogel and Rutherford, 1990)","previouslyFormattedCitation":"(Fogel and Rutherford, 1990)"},"properties":{"noteIndex":0},"schema":"https://github.com/citation-style-language/schema/raw/master/csl-citation.json"}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Fogel and Rutherford (1990)</w:t>
            </w:r>
            <w:r w:rsidRPr="007C6C48">
              <w:rPr>
                <w:rFonts w:ascii="Roboto" w:hAnsi="Roboto"/>
                <w:color w:val="000000" w:themeColor="text1"/>
              </w:rPr>
              <w:fldChar w:fldCharType="end"/>
            </w:r>
          </w:p>
        </w:tc>
      </w:tr>
    </w:tbl>
    <w:p w14:paraId="031DEE1D" w14:textId="77777777" w:rsidR="0016716F" w:rsidRPr="007C6C48" w:rsidRDefault="0016716F" w:rsidP="0016716F">
      <w:pPr>
        <w:rPr>
          <w:rFonts w:ascii="Roboto" w:hAnsi="Roboto"/>
          <w:highlight w:val="yellow"/>
        </w:rPr>
      </w:pPr>
    </w:p>
    <w:p w14:paraId="2E448157" w14:textId="42D2C59D" w:rsidR="0016716F" w:rsidRPr="007C6C48" w:rsidRDefault="0016716F" w:rsidP="0016716F">
      <w:pPr>
        <w:pStyle w:val="NoSpacing"/>
        <w:spacing w:after="0"/>
        <w:rPr>
          <w:rFonts w:ascii="Roboto" w:hAnsi="Roboto"/>
          <w:color w:val="000000" w:themeColor="text1"/>
        </w:rPr>
      </w:pPr>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4</w:t>
      </w:r>
      <w:r w:rsidR="006A647B" w:rsidRPr="007C6C48">
        <w:rPr>
          <w:rFonts w:ascii="Roboto" w:hAnsi="Roboto"/>
          <w:noProof/>
        </w:rPr>
        <w:fldChar w:fldCharType="end"/>
      </w:r>
      <w:r w:rsidRPr="007C6C48">
        <w:rPr>
          <w:rFonts w:ascii="Roboto" w:hAnsi="Roboto"/>
          <w:noProof/>
        </w:rPr>
        <w:t>.</w:t>
      </w:r>
      <w:r w:rsidRPr="007C6C48">
        <w:rPr>
          <w:rFonts w:ascii="Roboto" w:hAnsi="Roboto"/>
        </w:rPr>
        <w:t xml:space="preserve"> Equilibrium </w:t>
      </w:r>
      <w:r w:rsidR="008A3EE0" w:rsidRPr="007C6C48">
        <w:rPr>
          <w:rFonts w:ascii="Roboto" w:hAnsi="Roboto"/>
        </w:rPr>
        <w:t>functions</w:t>
      </w:r>
      <w:r w:rsidRPr="007C6C48">
        <w:rPr>
          <w:rFonts w:ascii="Roboto" w:hAnsi="Roboto"/>
        </w:rPr>
        <w:t xml:space="preserve"> for </w:t>
      </w:r>
      <w:proofErr w:type="gramStart"/>
      <w:r w:rsidRPr="007C6C48">
        <w:rPr>
          <w:rFonts w:ascii="Roboto" w:hAnsi="Roboto"/>
        </w:rPr>
        <w:t>CO</w:t>
      </w:r>
      <w:r w:rsidRPr="007C6C48">
        <w:rPr>
          <w:rFonts w:ascii="Roboto" w:hAnsi="Roboto"/>
          <w:vertAlign w:val="subscript"/>
        </w:rPr>
        <w:t>2,mol</w:t>
      </w:r>
      <w:proofErr w:type="gramEnd"/>
      <w:r w:rsidRPr="007C6C48">
        <w:rPr>
          <w:rFonts w:ascii="Roboto" w:hAnsi="Roboto"/>
        </w:rPr>
        <w:t xml:space="preserve"> and CO</w:t>
      </w:r>
      <w:r w:rsidRPr="007C6C48">
        <w:rPr>
          <w:rFonts w:ascii="Roboto" w:hAnsi="Roboto"/>
          <w:vertAlign w:val="subscript"/>
        </w:rPr>
        <w:t>3</w:t>
      </w:r>
      <w:r w:rsidRPr="007C6C48">
        <w:rPr>
          <w:rFonts w:ascii="Roboto" w:hAnsi="Roboto"/>
          <w:vertAlign w:val="superscript"/>
        </w:rPr>
        <w:t>2-</w:t>
      </w:r>
      <w:r w:rsidRPr="007C6C48">
        <w:rPr>
          <w:rFonts w:ascii="Roboto" w:hAnsi="Roboto"/>
        </w:rPr>
        <w:t xml:space="preserve"> and range of conditions of experiments used for calibration.</w:t>
      </w:r>
    </w:p>
    <w:tbl>
      <w:tblPr>
        <w:tblStyle w:val="TableGrid"/>
        <w:tblW w:w="0" w:type="auto"/>
        <w:tblLook w:val="04A0" w:firstRow="1" w:lastRow="0" w:firstColumn="1" w:lastColumn="0" w:noHBand="0" w:noVBand="1"/>
      </w:tblPr>
      <w:tblGrid>
        <w:gridCol w:w="1214"/>
        <w:gridCol w:w="913"/>
        <w:gridCol w:w="913"/>
        <w:gridCol w:w="1579"/>
        <w:gridCol w:w="1788"/>
        <w:gridCol w:w="2609"/>
      </w:tblGrid>
      <w:tr w:rsidR="00711D5B" w:rsidRPr="007C6C48" w14:paraId="456C6316" w14:textId="77777777" w:rsidTr="00841EAD">
        <w:tc>
          <w:tcPr>
            <w:tcW w:w="1137" w:type="dxa"/>
            <w:tcBorders>
              <w:top w:val="single" w:sz="8" w:space="0" w:color="auto"/>
              <w:bottom w:val="single" w:sz="8" w:space="0" w:color="auto"/>
            </w:tcBorders>
            <w:vAlign w:val="center"/>
          </w:tcPr>
          <w:p w14:paraId="15229FEE" w14:textId="77777777" w:rsidR="00711D5B" w:rsidRPr="007C6C48" w:rsidRDefault="00711D5B" w:rsidP="00B061FC">
            <w:pPr>
              <w:pStyle w:val="NoSpacing"/>
              <w:spacing w:after="0"/>
              <w:jc w:val="center"/>
              <w:rPr>
                <w:rFonts w:ascii="Roboto" w:hAnsi="Roboto"/>
              </w:rPr>
            </w:pPr>
            <w:r w:rsidRPr="007C6C48">
              <w:rPr>
                <w:rFonts w:ascii="Roboto" w:hAnsi="Roboto"/>
              </w:rPr>
              <w:t>Variables</w:t>
            </w:r>
          </w:p>
        </w:tc>
        <w:tc>
          <w:tcPr>
            <w:tcW w:w="885" w:type="dxa"/>
            <w:tcBorders>
              <w:top w:val="single" w:sz="8" w:space="0" w:color="auto"/>
              <w:bottom w:val="single" w:sz="8" w:space="0" w:color="auto"/>
            </w:tcBorders>
            <w:vAlign w:val="center"/>
          </w:tcPr>
          <w:p w14:paraId="6C5E3637" w14:textId="77777777" w:rsidR="00711D5B" w:rsidRPr="007C6C48" w:rsidRDefault="00711D5B" w:rsidP="00B061FC">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888" w:type="dxa"/>
            <w:tcBorders>
              <w:top w:val="single" w:sz="8" w:space="0" w:color="auto"/>
              <w:bottom w:val="single" w:sz="8" w:space="0" w:color="auto"/>
            </w:tcBorders>
            <w:vAlign w:val="center"/>
          </w:tcPr>
          <w:p w14:paraId="7552C421" w14:textId="77777777" w:rsidR="00711D5B" w:rsidRPr="007C6C48" w:rsidRDefault="00711D5B" w:rsidP="00B061FC">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470" w:type="dxa"/>
            <w:tcBorders>
              <w:top w:val="single" w:sz="8" w:space="0" w:color="auto"/>
              <w:bottom w:val="single" w:sz="8" w:space="0" w:color="auto"/>
            </w:tcBorders>
            <w:vAlign w:val="center"/>
          </w:tcPr>
          <w:p w14:paraId="033B126A" w14:textId="77777777" w:rsidR="00711D5B" w:rsidRPr="007C6C48" w:rsidRDefault="00711D5B" w:rsidP="00B061FC">
            <w:pPr>
              <w:pStyle w:val="NoSpacing"/>
              <w:spacing w:after="0"/>
              <w:jc w:val="center"/>
              <w:rPr>
                <w:rFonts w:ascii="Roboto" w:hAnsi="Roboto"/>
              </w:rPr>
            </w:pPr>
            <w:r w:rsidRPr="007C6C48">
              <w:rPr>
                <w:rFonts w:ascii="Roboto" w:hAnsi="Roboto"/>
              </w:rPr>
              <w:t>Composition</w:t>
            </w:r>
          </w:p>
        </w:tc>
        <w:tc>
          <w:tcPr>
            <w:tcW w:w="1852" w:type="dxa"/>
            <w:tcBorders>
              <w:top w:val="single" w:sz="8" w:space="0" w:color="auto"/>
              <w:bottom w:val="single" w:sz="8" w:space="0" w:color="auto"/>
            </w:tcBorders>
            <w:vAlign w:val="center"/>
          </w:tcPr>
          <w:p w14:paraId="64F00EF2" w14:textId="77EEE0E2" w:rsidR="00711D5B" w:rsidRPr="007C6C48" w:rsidRDefault="00711D5B" w:rsidP="00711D5B">
            <w:pPr>
              <w:pStyle w:val="NoSpacing"/>
              <w:spacing w:after="0"/>
              <w:jc w:val="center"/>
              <w:rPr>
                <w:rFonts w:ascii="Roboto" w:hAnsi="Roboto"/>
              </w:rPr>
            </w:pPr>
            <w:r w:rsidRPr="007C6C48">
              <w:rPr>
                <w:rFonts w:ascii="Roboto" w:hAnsi="Roboto"/>
              </w:rPr>
              <w:t>Benchmark</w:t>
            </w:r>
          </w:p>
        </w:tc>
        <w:tc>
          <w:tcPr>
            <w:tcW w:w="2784" w:type="dxa"/>
            <w:tcBorders>
              <w:top w:val="single" w:sz="8" w:space="0" w:color="auto"/>
              <w:bottom w:val="single" w:sz="8" w:space="0" w:color="auto"/>
            </w:tcBorders>
            <w:vAlign w:val="center"/>
          </w:tcPr>
          <w:p w14:paraId="0C3E19B1" w14:textId="7183B628" w:rsidR="00711D5B" w:rsidRPr="007C6C48" w:rsidRDefault="00711D5B" w:rsidP="00B061FC">
            <w:pPr>
              <w:pStyle w:val="NoSpacing"/>
              <w:spacing w:after="0"/>
              <w:jc w:val="center"/>
              <w:rPr>
                <w:rFonts w:ascii="Roboto" w:hAnsi="Roboto"/>
              </w:rPr>
            </w:pPr>
            <w:r w:rsidRPr="007C6C48">
              <w:rPr>
                <w:rFonts w:ascii="Roboto" w:hAnsi="Roboto"/>
              </w:rPr>
              <w:t>Reference</w:t>
            </w:r>
          </w:p>
        </w:tc>
      </w:tr>
      <w:tr w:rsidR="00711D5B" w:rsidRPr="007C6C48" w14:paraId="46DBF6B0" w14:textId="77777777" w:rsidTr="00841EAD">
        <w:tc>
          <w:tcPr>
            <w:tcW w:w="1137" w:type="dxa"/>
            <w:tcBorders>
              <w:top w:val="single" w:sz="8" w:space="0" w:color="auto"/>
            </w:tcBorders>
          </w:tcPr>
          <w:p w14:paraId="6A220DE9"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85" w:type="dxa"/>
            <w:tcBorders>
              <w:top w:val="single" w:sz="8" w:space="0" w:color="auto"/>
            </w:tcBorders>
          </w:tcPr>
          <w:p w14:paraId="377C86C7"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n/a</w:t>
            </w:r>
          </w:p>
        </w:tc>
        <w:tc>
          <w:tcPr>
            <w:tcW w:w="888" w:type="dxa"/>
            <w:tcBorders>
              <w:top w:val="single" w:sz="8" w:space="0" w:color="auto"/>
            </w:tcBorders>
          </w:tcPr>
          <w:p w14:paraId="3F4B3FAF"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n/a</w:t>
            </w:r>
          </w:p>
        </w:tc>
        <w:tc>
          <w:tcPr>
            <w:tcW w:w="1470" w:type="dxa"/>
            <w:tcBorders>
              <w:top w:val="single" w:sz="8" w:space="0" w:color="auto"/>
            </w:tcBorders>
          </w:tcPr>
          <w:p w14:paraId="44D6E9AD"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Basalt</w:t>
            </w:r>
          </w:p>
        </w:tc>
        <w:tc>
          <w:tcPr>
            <w:tcW w:w="1852" w:type="dxa"/>
            <w:tcBorders>
              <w:top w:val="single" w:sz="8" w:space="0" w:color="auto"/>
            </w:tcBorders>
          </w:tcPr>
          <w:p w14:paraId="353CAC79" w14:textId="30F9C8A6" w:rsidR="00711D5B"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784" w:type="dxa"/>
            <w:tcBorders>
              <w:top w:val="single" w:sz="8" w:space="0" w:color="auto"/>
            </w:tcBorders>
          </w:tcPr>
          <w:p w14:paraId="03CF682B" w14:textId="687A41D6"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Based on observation that all oxidised carbon is CO</w:t>
            </w:r>
            <w:r w:rsidRPr="007C6C48">
              <w:rPr>
                <w:rFonts w:ascii="Roboto" w:hAnsi="Roboto"/>
                <w:color w:val="000000" w:themeColor="text1"/>
                <w:vertAlign w:val="subscript"/>
              </w:rPr>
              <w:t>3</w:t>
            </w:r>
            <w:r w:rsidRPr="007C6C48">
              <w:rPr>
                <w:rFonts w:ascii="Roboto" w:hAnsi="Roboto"/>
                <w:color w:val="000000" w:themeColor="text1"/>
                <w:vertAlign w:val="superscript"/>
              </w:rPr>
              <w:t>2-</w:t>
            </w:r>
            <w:r w:rsidRPr="007C6C48">
              <w:rPr>
                <w:rFonts w:ascii="Roboto" w:hAnsi="Roboto"/>
                <w:color w:val="000000" w:themeColor="text1"/>
              </w:rPr>
              <w:t xml:space="preserve"> in basalts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{"citationItems":[{"id":"ITEM-1","itemData":{"DOI":"10.1016/0012-821X(86)90078-6","ISSN":"0012-821X","abstract":"Carbon dioxide dissolved in both synthetic Ca ± Mg-bearing silicate glasses and natural basaltic glasses has been characterized using infrared spectroscopy. CO2 is inferred to be dissolved in these glasses as distorted Ca or Mg carbonate ionic complexes that result in unique infrared absorption bands at 1515 cm-1 and 1435 cm-1. This speciation contrasts with the case of CO2-bearing sodium aluminosilicate glasses, which contain both dissolved molecular CO2 and dissolved Na-carbonate ionic-complexes. The difference in speciation in Ca ± Mg-bearing melts may result in part from a higher activity of oxygens that react with CO2 molecules to produce carbonate. Dissolved CO2 contents of natural basaltic glasses can be determined from the intensities of the carbonate absorption bands at 1515 cm-1 and 1435 cm-1. The uncertainty of the method is estimated to be ± 15% of the amount present. The infrared technique is a powerful tool for the measurement of dissolved CO2 contents in natural basaltic glasses since it is non-destructive, can be aimed at regions of glass a few tens of microns in size, and can discriminate between dissolved carbonate and carbon present as carbonate alteration, contained in fluid inclusions, or adsorbed on the glass. A set of submarine basaltic glasses dredged from a variety of locations contain 0-400 ppm dissolved CO2, measured using the infrared technique. These concentrations are lower than most previous reports for similar basaltic glasses. No general relationship is observed between dissolved CO2 content and depth of magmatic eruption, although some correlation might be present in restricted geographic locales. © 1986.","author":[{"dropping-particle":"","family":"Fine","given":"Gerald","non-dropping-particle":"","parse-names":false,"suffix":""},{"dropping-particle":"","family":"Stolper","given":"Edward","non-dropping-particle":"","parse-names":false,"suffix":""}],"container-title":"Earth and Planetary Science Letters","id":"ITEM-1","issue":"3-4","issued":{"date-parts":[["1986","1","1"]]},"page":"263-278","publisher":"Elsevier","title":"Dissolved carbon dioxide in basaltic glasses: concentrations and speciation","type":"article-journal","volume":"76"},"uris":["http://www.mendeley.com/documents/?uuid=c79cf3e2-0e5b-345b-a368-d0c2348f1eab"]}],"mendeley":{"formattedCitation":"(Fine and Stolper, 1986)","manualFormatting":"(e.g., Fine and Stolper, 1986)","plainTextFormattedCitation":"(Fine and Stolper, 1986)","previouslyFormattedCitation":"(Fine and Stolper, 1986)"},"properties":{"noteIndex":0},"schema":"https://github.com/citation-style-language/schema/raw/master/csl-citation.json"}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(e.g., Fine and Stolper, 1986)</w:t>
            </w:r>
            <w:r w:rsidRPr="007C6C48">
              <w:rPr>
                <w:rFonts w:ascii="Roboto" w:hAnsi="Roboto"/>
                <w:color w:val="000000" w:themeColor="text1"/>
              </w:rPr>
              <w:fldChar w:fldCharType="end"/>
            </w:r>
          </w:p>
        </w:tc>
      </w:tr>
      <w:tr w:rsidR="00711D5B" w:rsidRPr="007C6C48" w14:paraId="6F9AE3A8" w14:textId="77777777" w:rsidTr="00841EAD">
        <w:tc>
          <w:tcPr>
            <w:tcW w:w="1137" w:type="dxa"/>
          </w:tcPr>
          <w:p w14:paraId="7F939932" w14:textId="77777777" w:rsidR="00711D5B" w:rsidRPr="007C6C48" w:rsidRDefault="00711D5B" w:rsidP="00B061FC">
            <w:pPr>
              <w:pStyle w:val="NoSpacing"/>
              <w:spacing w:after="0"/>
              <w:rPr>
                <w:rFonts w:ascii="Roboto" w:hAnsi="Roboto"/>
                <w:i/>
                <w:iCs/>
                <w:color w:val="000000" w:themeColor="text1"/>
              </w:rPr>
            </w:pPr>
            <w:r w:rsidRPr="007C6C48">
              <w:rPr>
                <w:rFonts w:ascii="Roboto" w:hAnsi="Roboto"/>
                <w:i/>
                <w:iCs/>
                <w:color w:val="000000" w:themeColor="text1"/>
              </w:rPr>
              <w:t>T</w:t>
            </w:r>
          </w:p>
        </w:tc>
        <w:tc>
          <w:tcPr>
            <w:tcW w:w="885" w:type="dxa"/>
          </w:tcPr>
          <w:p w14:paraId="5C691C82"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1100–1300</w:t>
            </w:r>
          </w:p>
        </w:tc>
        <w:tc>
          <w:tcPr>
            <w:tcW w:w="888" w:type="dxa"/>
          </w:tcPr>
          <w:p w14:paraId="47777F1E"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2000–5000</w:t>
            </w:r>
          </w:p>
        </w:tc>
        <w:tc>
          <w:tcPr>
            <w:tcW w:w="1470" w:type="dxa"/>
          </w:tcPr>
          <w:p w14:paraId="4E547E36"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Andesite</w:t>
            </w:r>
          </w:p>
        </w:tc>
        <w:tc>
          <w:tcPr>
            <w:tcW w:w="1852" w:type="dxa"/>
          </w:tcPr>
          <w:p w14:paraId="791CEC7D" w14:textId="424F6772"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Their Figure 12</w:t>
            </w:r>
          </w:p>
        </w:tc>
        <w:tc>
          <w:tcPr>
            <w:tcW w:w="2784" w:type="dxa"/>
          </w:tcPr>
          <w:p w14:paraId="1A7AAF11" w14:textId="73B16FDA"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 xml:space="preserve">Eq. (8)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{"citationItems":[{"id":"ITEM-1","itemData":{"DOI":"10.1016/J.CHEMGEO.2006.01.016","ISSN":"0009-2541","abstract":"The solubility and speciation of C–O–H fluids in andesitic melts were experimentally investigated at 1100–1300°C and 200, 500MPa. Solubilities of H2O and CO2 increase with pressure and the maximum solubility values are 5.5 and 10.0wt.% H2O and 2200 and 4500ppm CO2 at 200 and500MPa, respectively. The effect of temperature on the solubility of C–O–H fluids is not resolved from the obtained data. The solubility values for CO2-rich fluid in andesitic melts at 200 and 500MPa are similar to the data for tholeiitic, dacitic and rhyolitic melts having compositions falling along an inverse linear trend on the (Ca+Mg+Fe) cation fraction vs. (Na+K)/(Si+Al) ratio diagram. This indicates that for these melts the decrease in the proportion of reactive oxygens (or network-modifiers), which are responsible for the incorporation of carbonate species, can be compensated in a certain degree by an increase in ionic porosity of polymerized melts, favoring the incorporation of molecular CO2. The speciation of water and carbon in quenched glasses depends strongly on total water content (CH2Otot). The CH2Omol/CH2Otot ratio increases from about 0.1 to 0.7 with CH2Otot varying from 0.8 to 8wt.%. The proportion of CO2mol decreases nonlinearly from 0.033 to almost 0 in the same range of CH2Otot. The observed change in speciation can be attributed to the effect of water on the glass transition temperature, i.e. to the conditions at which the speciation can be frozen in. The log-form of reaction constants K1 and K2 for water and carbon speciation in glasses show well-defined Arrhenian dependences on reciprocal fictive temperature of the glass, consistent with the assumption that water and carbon species are frozen in at the glass transition.","author":[{"dropping-particle":"","family":"Botcharnikov","given":"Roman E.","non-dropping-particle":"","parse-names":false,"suffix":""},{"dropping-particle":"","family":"Behrens","given":"H.","non-dropping-particle":"","parse-names":false,"suffix":""},{"dropping-particle":"","family":"Holtz","given":"F.","non-dropping-particle":"","parse-names":false,"suffix":""}],"container-title":"Chemical Geology","id":"ITEM-1","issue":"1-3","issued":{"date-parts":[["2006","5","16"]]},"page":"125-143","publisher":"Elsevier","title":"Solubility and speciation of C–O–H fluids in andesitic melt at T = 1100–1300 °C and P = 200 and 500 MPa","type":"article-journal","volume":"229"},"uris":["http://www.mendeley.com/documents/?uuid=61455125-84c0-3f31-9be0-77dac2828e26"]}],"mendeley":{"formattedCitation":"(Botcharnikov et al., 2006)","manualFormatting":"Botcharnikov et al. (2006)","plainTextFormattedCitation":"(Botcharnikov et al., 2006)","previouslyFormattedCitation":"(Botcharnikov et al., 2006)"},"properties":{"noteIndex":0},"schema":"https://github.com/citation-style-language/schema/raw/master/csl-citation.json"}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Botcharnikov et al. (2006)</w:t>
            </w:r>
            <w:r w:rsidRPr="007C6C48">
              <w:rPr>
                <w:rFonts w:ascii="Roboto" w:hAnsi="Roboto"/>
                <w:color w:val="000000" w:themeColor="text1"/>
              </w:rPr>
              <w:fldChar w:fldCharType="end"/>
            </w:r>
          </w:p>
        </w:tc>
      </w:tr>
      <w:tr w:rsidR="00711D5B" w:rsidRPr="007C6C48" w14:paraId="0BE384FD" w14:textId="77777777" w:rsidTr="00841EAD">
        <w:tc>
          <w:tcPr>
            <w:tcW w:w="1137" w:type="dxa"/>
          </w:tcPr>
          <w:p w14:paraId="241CA4FC" w14:textId="77777777" w:rsidR="00711D5B" w:rsidRPr="007C6C48" w:rsidRDefault="00711D5B" w:rsidP="00B061FC">
            <w:pPr>
              <w:pStyle w:val="NoSpacing"/>
              <w:spacing w:after="0"/>
              <w:rPr>
                <w:rFonts w:ascii="Roboto" w:hAnsi="Roboto"/>
                <w:i/>
                <w:iCs/>
                <w:color w:val="000000" w:themeColor="text1"/>
              </w:rPr>
            </w:pPr>
            <w:r w:rsidRPr="007C6C48">
              <w:rPr>
                <w:rFonts w:ascii="Roboto" w:hAnsi="Roboto"/>
                <w:i/>
                <w:iCs/>
                <w:color w:val="000000" w:themeColor="text1"/>
              </w:rPr>
              <w:lastRenderedPageBreak/>
              <w:t>T</w:t>
            </w:r>
          </w:p>
        </w:tc>
        <w:tc>
          <w:tcPr>
            <w:tcW w:w="885" w:type="dxa"/>
          </w:tcPr>
          <w:p w14:paraId="79F2223F"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1250</w:t>
            </w:r>
          </w:p>
        </w:tc>
        <w:tc>
          <w:tcPr>
            <w:tcW w:w="888" w:type="dxa"/>
          </w:tcPr>
          <w:p w14:paraId="5918CEC2"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1000–5000</w:t>
            </w:r>
          </w:p>
        </w:tc>
        <w:tc>
          <w:tcPr>
            <w:tcW w:w="1470" w:type="dxa"/>
          </w:tcPr>
          <w:p w14:paraId="27C0DCB1"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Dacite</w:t>
            </w:r>
          </w:p>
        </w:tc>
        <w:tc>
          <w:tcPr>
            <w:tcW w:w="1852" w:type="dxa"/>
          </w:tcPr>
          <w:p w14:paraId="2DC6BD2B" w14:textId="32573B1D"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Their Figure 12</w:t>
            </w:r>
          </w:p>
        </w:tc>
        <w:tc>
          <w:tcPr>
            <w:tcW w:w="2784" w:type="dxa"/>
          </w:tcPr>
          <w:p w14:paraId="2CDF4194" w14:textId="65A95FA2"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 xml:space="preserve">Eq. in the text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{"citationItems":[{"id":"ITEM-1","itemData":{"DOI":"10.1016/J.CHEMGEO.2006.01.016","ISSN":"0009-2541","abstract":"The solubility and speciation of C–O–H fluids in andesitic melts were experimentally investigated at 1100–1300°C and 200, 500MPa. Solubilities of H2O and CO2 increase with pressure and the maximum solubility values are 5.5 and 10.0wt.% H2O and 2200 and 4500ppm CO2 at 200 and500MPa, respectively. The effect of temperature on the solubility of C–O–H fluids is not resolved from the obtained data. The solubility values for CO2-rich fluid in andesitic melts at 200 and 500MPa are similar to the data for tholeiitic, dacitic and rhyolitic melts having compositions falling along an inverse linear trend on the (Ca+Mg+Fe) cation fraction vs. (Na+K)/(Si+Al) ratio diagram. This indicates that for these melts the decrease in the proportion of reactive oxygens (or network-modifiers), which are responsible for the incorporation of carbonate species, can be compensated in a certain degree by an increase in ionic porosity of polymerized melts, favoring the incorporation of molecular CO2. The speciation of water and carbon in quenched glasses depends strongly on total water content (CH2Otot). The CH2Omol/CH2Otot ratio increases from about 0.1 to 0.7 with CH2Otot varying from 0.8 to 8wt.%. The proportion of CO2mol decreases nonlinearly from 0.033 to almost 0 in the same range of CH2Otot. The observed change in speciation can be attributed to the effect of water on the glass transition temperature, i.e. to the conditions at which the speciation can be frozen in. The log-form of reaction constants K1 and K2 for water and carbon speciation in glasses show well-defined Arrhenian dependences on reciprocal fictive temperature of the glass, consistent with the assumption that water and carbon species are frozen in at the glass transition.","author":[{"dropping-particle":"","family":"Botcharnikov","given":"Roman E.","non-dropping-particle":"","parse-names":false,"suffix":""},{"dropping-particle":"","family":"Behrens","given":"H.","non-dropping-particle":"","parse-names":false,"suffix":""},{"dropping-particle":"","family":"Holtz","given":"F.","non-dropping-particle":"","parse-names":false,"suffix":""}],"container-title":"Chemical Geology","id":"ITEM-1","issue":"1-3","issued":{"date-parts":[["2006","5","16"]]},"page":"125-143","publisher":"Elsevier","title":"Solubility and speciation of C–O–H fluids in andesitic melt at T = 1100–1300 °C and P = 200 and 500 MPa","type":"article-journal","volume":"229"},"uris":["http://www.mendeley.com/documents/?uuid=61455125-84c0-3f31-9be0-77dac2828e26"]}],"mendeley":{"formattedCitation":"(Botcharnikov et al., 2006)","manualFormatting":"Botcharnikov et al. (2006)","plainTextFormattedCitation":"(Botcharnikov et al., 2006)","previouslyFormattedCitation":"(Botcharnikov et al., 2006)"},"properties":{"noteIndex":0},"schema":"https://github.com/citation-style-language/schema/raw/master/csl-citation.json"}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Botcharnikov et al. (2006)</w:t>
            </w:r>
            <w:r w:rsidRPr="007C6C48">
              <w:rPr>
                <w:rFonts w:ascii="Roboto" w:hAnsi="Roboto"/>
                <w:color w:val="000000" w:themeColor="text1"/>
              </w:rPr>
              <w:fldChar w:fldCharType="end"/>
            </w:r>
            <w:r w:rsidRPr="007C6C48">
              <w:rPr>
                <w:rFonts w:ascii="Roboto" w:hAnsi="Roboto"/>
              </w:rPr>
              <w:t>,</w:t>
            </w:r>
            <w:r w:rsidRPr="007C6C48">
              <w:rPr>
                <w:rFonts w:ascii="Roboto" w:hAnsi="Roboto"/>
                <w:color w:val="0070C0"/>
              </w:rPr>
              <w:t xml:space="preserve"> </w:t>
            </w:r>
            <w:r w:rsidRPr="007C6C48">
              <w:rPr>
                <w:rFonts w:ascii="Roboto" w:hAnsi="Roboto"/>
                <w:color w:val="000000" w:themeColor="text1"/>
              </w:rPr>
              <w:t xml:space="preserve">based on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{"citationItems":[{"id":"ITEM-1","itemData":{"DOI":"10.1016/J.GCA.2004.04.019","ISSN":"0016-7037","abstract":"The solubility of CO2 in dacitic melts equilibrated with H2O-CO2 fluids was experimentally investigated at 1250°C and 100 to 500 MPa. CO2 is dissolved in dacitic glasses as molecular CO2 and carbonate. The quantification of total CO2 in the glasses by mid-infrared (MIR) spectroscopy is difficult because the weak carbonate bands at 1430 and 1530 cm-1 can not be reliably separated from background features in the spectra. Furthermore, the ratio of CO2,mol/carbonate in the quenched glasses strongly decreases with increasing water content. Due to the difficulties in quantifying CO2 species concentrations from the MIR spectra we have measured total CO2 contents of dacitic glasses by secondary ion mass spectrometry (SIMS). At all pressures, the dependence of CO2 solubility in dacitic melts on xfluidCO2,total shows a strong positive deviation from linearity with almost constant CO2 solubility at xCO2fluid &gt; 0.8 (maximum CO2 solubility of 795 ± 41, 1376 ± 73 and 2949 ± 166 ppm at 100, 200 and 500 MPa, respectively), indicating that dissolved water strongly enhances the solubility of CO2. A similar nonlinear variation of CO2 solubility with XCO2fluid has been observed for rhyolitic melts in which carbon dioxide is incorporated exclusively as molecular CO2 (Tamic et al., 2001 ). We infer that water species in the melt do not only stabilize carbonate groups as has been suggested earlier but also CO2 molecules. A thermodynamic model describing the dependen ce of the CO2 solubility in hydrous rhyolitic and dacitic melts on T, P, fCO2 and the mol fraction of water in the melt (xwater) has been developed. An exponential variation of the equilibrium constant K1 with xwater is proposed to account for the nonlinear dependence of xCO2,totalmelt on xCO2fluid. The model reproduces the CO2 solubility data for dacitic melts within ±14% relative and the data for rhyolitic melts within 10% relative in the pressure range 100-500 MPa (except for six outliers at low xCO2fluid). Data obtained for rhyolitic melts at 75 MPa and 850°C show a stronger deviation from the model, suggesting a change in the solubility behavior of CO2 at low pressures (a Henrian behavior of the CO2 solubility is observed at low pressure and low H2O concentrations in the melt). We recommend to use our model only in the pressure range 100-500 MPa and in the xCO2fluid range 0.1-0.95. The thermodynamic modeling indicates that the partial molar volume of total CO2 is much lower in rhyolitic melts (31.7 cm3/mol) t…","author":[{"dropping-particle":"","family":"Behrens","given":"Harald","non-dropping-particle":"","parse-names":false,"suffix":""},{"dropping-particle":"","family":"Ohlhorst","given":"Susanne","non-dropping-particle":"","parse-names":false,"suffix":""},{"dropping-particle":"","family":"Holtz","given":"Francois","non-dropping-particle":"","parse-names":false,"suffix":""},{"dropping-particle":"","family":"Champenois","given":"Michel","non-dropping-particle":"","parse-names":false,"suffix":""}],"container-title":"Geochimica et Cosmochimica Acta","id":"ITEM-1","issue":"22","issued":{"date-parts":[["2004","11","15"]]},"page":"4687-4703","publisher":"Pergamon","title":"CO2 solubility in dacitic melts equilibrated with H2O-CO2 fluids: Implications for modeling the solubility of CO2 in silicic melts","type":"article-journal","volume":"68"},"uris":["http://www.mendeley.com/documents/?uuid=cbd94690-2bfe-3969-9618-4fea6275c63f"]}],"mendeley":{"formattedCitation":"(Behrens et al., 2004)","manualFormatting":"Behrens et al. (2004)","plainTextFormattedCitation":"(Behrens et al., 2004)","previouslyFormattedCitation":"(Behrens et al., 2004)"},"properties":{"noteIndex":0},"schema":"https://github.com/citation-style-language/schema/raw/master/csl-citation.json"}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Behrens et al. (2004)</w:t>
            </w:r>
            <w:r w:rsidRPr="007C6C48">
              <w:rPr>
                <w:rFonts w:ascii="Roboto" w:hAnsi="Roboto"/>
                <w:color w:val="000000" w:themeColor="text1"/>
              </w:rPr>
              <w:fldChar w:fldCharType="end"/>
            </w:r>
          </w:p>
        </w:tc>
      </w:tr>
      <w:tr w:rsidR="00711D5B" w:rsidRPr="007C6C48" w14:paraId="6F1E4A33" w14:textId="77777777" w:rsidTr="00841EAD">
        <w:tc>
          <w:tcPr>
            <w:tcW w:w="1137" w:type="dxa"/>
            <w:tcBorders>
              <w:bottom w:val="single" w:sz="8" w:space="0" w:color="auto"/>
            </w:tcBorders>
          </w:tcPr>
          <w:p w14:paraId="3271968F"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85" w:type="dxa"/>
            <w:tcBorders>
              <w:bottom w:val="single" w:sz="8" w:space="0" w:color="auto"/>
            </w:tcBorders>
          </w:tcPr>
          <w:p w14:paraId="4AA9ABB6"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n/a</w:t>
            </w:r>
          </w:p>
        </w:tc>
        <w:tc>
          <w:tcPr>
            <w:tcW w:w="888" w:type="dxa"/>
            <w:tcBorders>
              <w:bottom w:val="single" w:sz="8" w:space="0" w:color="auto"/>
            </w:tcBorders>
          </w:tcPr>
          <w:p w14:paraId="6A2D550F"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n/a</w:t>
            </w:r>
          </w:p>
        </w:tc>
        <w:tc>
          <w:tcPr>
            <w:tcW w:w="1470" w:type="dxa"/>
            <w:tcBorders>
              <w:bottom w:val="single" w:sz="8" w:space="0" w:color="auto"/>
            </w:tcBorders>
          </w:tcPr>
          <w:p w14:paraId="68250886"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Rhyolite</w:t>
            </w:r>
          </w:p>
        </w:tc>
        <w:tc>
          <w:tcPr>
            <w:tcW w:w="1852" w:type="dxa"/>
            <w:tcBorders>
              <w:bottom w:val="single" w:sz="8" w:space="0" w:color="auto"/>
            </w:tcBorders>
          </w:tcPr>
          <w:p w14:paraId="793862AB" w14:textId="7C7E1CC2" w:rsidR="00711D5B"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784" w:type="dxa"/>
            <w:tcBorders>
              <w:bottom w:val="single" w:sz="8" w:space="0" w:color="auto"/>
            </w:tcBorders>
          </w:tcPr>
          <w:p w14:paraId="6FC4E1FB" w14:textId="3C53E301"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Based on observation that all oxidised carbon is CO</w:t>
            </w:r>
            <w:r w:rsidRPr="007C6C48">
              <w:rPr>
                <w:rFonts w:ascii="Roboto" w:hAnsi="Roboto"/>
                <w:color w:val="000000" w:themeColor="text1"/>
                <w:vertAlign w:val="subscript"/>
              </w:rPr>
              <w:t>2,T</w:t>
            </w:r>
            <w:r w:rsidRPr="007C6C48">
              <w:rPr>
                <w:rFonts w:ascii="Roboto" w:hAnsi="Roboto"/>
                <w:color w:val="000000" w:themeColor="text1"/>
              </w:rPr>
              <w:t xml:space="preserve"> in rhyolites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{"citationItems":[{"id":"ITEM-1","itemData":{"DOI":"10.1016/0016-7037(93)90175-V","ISSN":"00167037","author":[{"dropping-particle":"","family":"Blank","given":"J. G.","non-dropping-particle":"","parse-names":false,"suffix":""},{"dropping-particle":"","family":"Delaney","given":"J.R.","non-dropping-particle":"","parse-names":false,"suffix":""},{"dropping-particle":"","family":"Marais","given":"David J.Des","non-dropping-particle":"","parse-names":false,"suffix":""}],"container-title":"Geochimica et Cosmochimica Acta","id":"ITEM-1","issue":"4","issued":{"date-parts":[["1993","2"]]},"page":"875-887","title":"The concentration and isotopic composition of carbon in basaltic glasses from the Juan de Fuca Ridge, Pacific Ocean","type":"article-journal","volume":"57"},"uris":["http://www.mendeley.com/documents/?uuid=a8af3d5b-68c7-3252-a120-c81826e35e6d"]}],"mendeley":{"formattedCitation":"(Blank et al., 1993a)","manualFormatting":"(e.g., Blank et al., 1993a)","plainTextFormattedCitation":"(Blank et al., 1993a)","previouslyFormattedCitation":"(Blank et al., 1993a)"},"properties":{"noteIndex":0},"schema":"https://github.com/citation-style-language/schema/raw/master/csl-citation.json"}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(e.g., Blank et al., 1993a)</w:t>
            </w:r>
            <w:r w:rsidRPr="007C6C48">
              <w:rPr>
                <w:rFonts w:ascii="Roboto" w:hAnsi="Roboto"/>
                <w:color w:val="000000" w:themeColor="text1"/>
              </w:rPr>
              <w:fldChar w:fldCharType="end"/>
            </w:r>
          </w:p>
        </w:tc>
      </w:tr>
    </w:tbl>
    <w:p w14:paraId="781175A5" w14:textId="77777777" w:rsidR="0016716F" w:rsidRPr="007C6C48" w:rsidRDefault="0016716F" w:rsidP="0016716F">
      <w:pPr>
        <w:rPr>
          <w:rFonts w:ascii="Roboto" w:hAnsi="Roboto"/>
          <w:highlight w:val="yellow"/>
        </w:rPr>
      </w:pPr>
    </w:p>
    <w:p w14:paraId="50DB232A" w14:textId="6CA403C2" w:rsidR="0016716F" w:rsidRPr="007C6C48" w:rsidRDefault="0016716F" w:rsidP="0016716F">
      <w:pPr>
        <w:pStyle w:val="NoSpacing"/>
        <w:spacing w:after="0"/>
        <w:rPr>
          <w:rFonts w:ascii="Roboto" w:hAnsi="Roboto"/>
          <w:color w:val="000000" w:themeColor="text1"/>
        </w:rPr>
      </w:pPr>
      <w:bookmarkStart w:id="8" w:name="_Ref163380433"/>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5</w:t>
      </w:r>
      <w:r w:rsidR="006A647B" w:rsidRPr="007C6C48">
        <w:rPr>
          <w:rFonts w:ascii="Roboto" w:hAnsi="Roboto"/>
          <w:noProof/>
        </w:rPr>
        <w:fldChar w:fldCharType="end"/>
      </w:r>
      <w:bookmarkEnd w:id="8"/>
      <w:r w:rsidRPr="007C6C48">
        <w:rPr>
          <w:rFonts w:ascii="Roboto" w:hAnsi="Roboto"/>
          <w:noProof/>
        </w:rPr>
        <w:t>.</w:t>
      </w:r>
      <w:r w:rsidRPr="007C6C48">
        <w:rPr>
          <w:rFonts w:ascii="Roboto" w:hAnsi="Roboto"/>
        </w:rPr>
        <w:t xml:space="preserve"> Solubility </w:t>
      </w:r>
      <w:r w:rsidR="008A3EE0" w:rsidRPr="007C6C48">
        <w:rPr>
          <w:rFonts w:ascii="Roboto" w:hAnsi="Roboto"/>
        </w:rPr>
        <w:t xml:space="preserve">functions </w:t>
      </w:r>
      <w:r w:rsidRPr="007C6C48">
        <w:rPr>
          <w:rFonts w:ascii="Roboto" w:hAnsi="Roboto"/>
        </w:rPr>
        <w:t>for H</w:t>
      </w:r>
      <w:r w:rsidRPr="007C6C48">
        <w:rPr>
          <w:rFonts w:ascii="Roboto" w:hAnsi="Roboto"/>
          <w:vertAlign w:val="subscript"/>
        </w:rPr>
        <w:t>2</w:t>
      </w:r>
      <w:r w:rsidRPr="007C6C48">
        <w:rPr>
          <w:rFonts w:ascii="Roboto" w:hAnsi="Roboto"/>
        </w:rPr>
        <w:t>O</w:t>
      </w:r>
      <w:r w:rsidRPr="007C6C48">
        <w:rPr>
          <w:rFonts w:ascii="Roboto" w:hAnsi="Roboto"/>
          <w:vertAlign w:val="subscript"/>
        </w:rPr>
        <w:t>T</w:t>
      </w:r>
      <w:r w:rsidRPr="007C6C48">
        <w:rPr>
          <w:rFonts w:ascii="Roboto" w:hAnsi="Roboto"/>
        </w:rPr>
        <w:t xml:space="preserve"> and range of conditions of experiments used for calibration.</w:t>
      </w:r>
    </w:p>
    <w:tbl>
      <w:tblPr>
        <w:tblStyle w:val="TableGrid"/>
        <w:tblW w:w="0" w:type="auto"/>
        <w:tblLook w:val="04A0" w:firstRow="1" w:lastRow="0" w:firstColumn="1" w:lastColumn="0" w:noHBand="0" w:noVBand="1"/>
      </w:tblPr>
      <w:tblGrid>
        <w:gridCol w:w="1214"/>
        <w:gridCol w:w="913"/>
        <w:gridCol w:w="865"/>
        <w:gridCol w:w="1579"/>
        <w:gridCol w:w="1932"/>
        <w:gridCol w:w="2513"/>
      </w:tblGrid>
      <w:tr w:rsidR="00025882" w:rsidRPr="007C6C48" w14:paraId="146CCCA6" w14:textId="77777777" w:rsidTr="00B45276">
        <w:tc>
          <w:tcPr>
            <w:tcW w:w="1136" w:type="dxa"/>
            <w:tcBorders>
              <w:top w:val="single" w:sz="8" w:space="0" w:color="auto"/>
              <w:bottom w:val="single" w:sz="8" w:space="0" w:color="auto"/>
            </w:tcBorders>
            <w:vAlign w:val="center"/>
          </w:tcPr>
          <w:p w14:paraId="01E0F594" w14:textId="77777777" w:rsidR="00025882" w:rsidRPr="007C6C48" w:rsidRDefault="00025882" w:rsidP="00530F0B">
            <w:pPr>
              <w:pStyle w:val="NoSpacing"/>
              <w:spacing w:after="0"/>
              <w:jc w:val="center"/>
              <w:rPr>
                <w:rFonts w:ascii="Roboto" w:hAnsi="Roboto"/>
              </w:rPr>
            </w:pPr>
            <w:r w:rsidRPr="007C6C48">
              <w:rPr>
                <w:rFonts w:ascii="Roboto" w:hAnsi="Roboto"/>
              </w:rPr>
              <w:t>Variables</w:t>
            </w:r>
          </w:p>
        </w:tc>
        <w:tc>
          <w:tcPr>
            <w:tcW w:w="887" w:type="dxa"/>
            <w:tcBorders>
              <w:top w:val="single" w:sz="8" w:space="0" w:color="auto"/>
              <w:bottom w:val="single" w:sz="8" w:space="0" w:color="auto"/>
            </w:tcBorders>
            <w:vAlign w:val="center"/>
          </w:tcPr>
          <w:p w14:paraId="2E39D0C9" w14:textId="77777777" w:rsidR="00025882" w:rsidRPr="007C6C48" w:rsidRDefault="00025882" w:rsidP="00530F0B">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867" w:type="dxa"/>
            <w:tcBorders>
              <w:top w:val="single" w:sz="8" w:space="0" w:color="auto"/>
              <w:bottom w:val="single" w:sz="8" w:space="0" w:color="auto"/>
            </w:tcBorders>
            <w:vAlign w:val="center"/>
          </w:tcPr>
          <w:p w14:paraId="7B0B7454" w14:textId="77777777" w:rsidR="00025882" w:rsidRPr="007C6C48" w:rsidRDefault="00025882" w:rsidP="00530F0B">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457" w:type="dxa"/>
            <w:tcBorders>
              <w:top w:val="single" w:sz="8" w:space="0" w:color="auto"/>
              <w:bottom w:val="single" w:sz="8" w:space="0" w:color="auto"/>
            </w:tcBorders>
            <w:vAlign w:val="center"/>
          </w:tcPr>
          <w:p w14:paraId="017AAC09" w14:textId="77777777" w:rsidR="00025882" w:rsidRPr="007C6C48" w:rsidRDefault="00025882" w:rsidP="00530F0B">
            <w:pPr>
              <w:pStyle w:val="NoSpacing"/>
              <w:spacing w:after="0"/>
              <w:jc w:val="center"/>
              <w:rPr>
                <w:rFonts w:ascii="Roboto" w:hAnsi="Roboto"/>
              </w:rPr>
            </w:pPr>
            <w:r w:rsidRPr="007C6C48">
              <w:rPr>
                <w:rFonts w:ascii="Roboto" w:hAnsi="Roboto"/>
              </w:rPr>
              <w:t>Composition</w:t>
            </w:r>
          </w:p>
        </w:tc>
        <w:tc>
          <w:tcPr>
            <w:tcW w:w="2005" w:type="dxa"/>
            <w:tcBorders>
              <w:top w:val="single" w:sz="8" w:space="0" w:color="auto"/>
              <w:bottom w:val="single" w:sz="8" w:space="0" w:color="auto"/>
            </w:tcBorders>
            <w:vAlign w:val="center"/>
          </w:tcPr>
          <w:p w14:paraId="1FCFF918" w14:textId="15F58FF3" w:rsidR="00025882" w:rsidRPr="007C6C48" w:rsidRDefault="00025882" w:rsidP="00530F0B">
            <w:pPr>
              <w:pStyle w:val="NoSpacing"/>
              <w:spacing w:after="0"/>
              <w:jc w:val="center"/>
              <w:rPr>
                <w:rFonts w:ascii="Roboto" w:hAnsi="Roboto"/>
              </w:rPr>
            </w:pPr>
            <w:r w:rsidRPr="007C6C48">
              <w:rPr>
                <w:rFonts w:ascii="Roboto" w:hAnsi="Roboto"/>
              </w:rPr>
              <w:t>Benchmark</w:t>
            </w:r>
          </w:p>
        </w:tc>
        <w:tc>
          <w:tcPr>
            <w:tcW w:w="2664" w:type="dxa"/>
            <w:tcBorders>
              <w:top w:val="single" w:sz="8" w:space="0" w:color="auto"/>
              <w:bottom w:val="single" w:sz="8" w:space="0" w:color="auto"/>
            </w:tcBorders>
            <w:vAlign w:val="center"/>
          </w:tcPr>
          <w:p w14:paraId="5A268FF0" w14:textId="392371C2" w:rsidR="00025882" w:rsidRPr="007C6C48" w:rsidRDefault="00025882" w:rsidP="00530F0B">
            <w:pPr>
              <w:pStyle w:val="NoSpacing"/>
              <w:spacing w:after="0"/>
              <w:jc w:val="center"/>
              <w:rPr>
                <w:rFonts w:ascii="Roboto" w:hAnsi="Roboto"/>
              </w:rPr>
            </w:pPr>
            <w:r w:rsidRPr="007C6C48">
              <w:rPr>
                <w:rFonts w:ascii="Roboto" w:hAnsi="Roboto"/>
              </w:rPr>
              <w:t>Reference</w:t>
            </w:r>
          </w:p>
        </w:tc>
      </w:tr>
      <w:tr w:rsidR="00025882" w:rsidRPr="007C6C48" w14:paraId="04CE0B40" w14:textId="77777777" w:rsidTr="00B45276">
        <w:tc>
          <w:tcPr>
            <w:tcW w:w="1136" w:type="dxa"/>
            <w:tcBorders>
              <w:top w:val="single" w:sz="8" w:space="0" w:color="auto"/>
            </w:tcBorders>
          </w:tcPr>
          <w:p w14:paraId="2CF3AECF"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87" w:type="dxa"/>
            <w:tcBorders>
              <w:top w:val="single" w:sz="8" w:space="0" w:color="auto"/>
            </w:tcBorders>
          </w:tcPr>
          <w:p w14:paraId="1B85FF03"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1050–1250</w:t>
            </w:r>
          </w:p>
        </w:tc>
        <w:tc>
          <w:tcPr>
            <w:tcW w:w="867" w:type="dxa"/>
            <w:tcBorders>
              <w:top w:val="single" w:sz="8" w:space="0" w:color="auto"/>
            </w:tcBorders>
          </w:tcPr>
          <w:p w14:paraId="7E94D853" w14:textId="77777777" w:rsidR="00025882" w:rsidRPr="007C6C48" w:rsidRDefault="00025882" w:rsidP="00B061FC">
            <w:pPr>
              <w:pStyle w:val="NoSpacing"/>
              <w:spacing w:after="0"/>
              <w:jc w:val="right"/>
              <w:rPr>
                <w:rFonts w:ascii="Roboto" w:hAnsi="Roboto"/>
                <w:color w:val="000000" w:themeColor="text1"/>
              </w:rPr>
            </w:pPr>
            <w:r w:rsidRPr="007C6C48">
              <w:rPr>
                <w:rFonts w:ascii="Roboto" w:hAnsi="Roboto"/>
                <w:color w:val="000000" w:themeColor="text1"/>
              </w:rPr>
              <w:t>109–5000</w:t>
            </w:r>
          </w:p>
        </w:tc>
        <w:tc>
          <w:tcPr>
            <w:tcW w:w="1457" w:type="dxa"/>
            <w:tcBorders>
              <w:top w:val="single" w:sz="8" w:space="0" w:color="auto"/>
            </w:tcBorders>
          </w:tcPr>
          <w:p w14:paraId="2F3BD7DF" w14:textId="6B31215C"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Basalt (&lt;6 wt% H</w:t>
            </w:r>
            <w:r w:rsidRPr="007C6C48">
              <w:rPr>
                <w:rFonts w:ascii="Roboto" w:hAnsi="Roboto"/>
                <w:color w:val="000000" w:themeColor="text1"/>
                <w:vertAlign w:val="subscript"/>
              </w:rPr>
              <w:t>2</w:t>
            </w:r>
            <w:r w:rsidRPr="007C6C48">
              <w:rPr>
                <w:rFonts w:ascii="Roboto" w:hAnsi="Roboto"/>
                <w:color w:val="000000" w:themeColor="text1"/>
              </w:rPr>
              <w:t>O</w:t>
            </w:r>
            <w:r w:rsidRPr="007C6C48">
              <w:rPr>
                <w:rFonts w:ascii="Roboto" w:hAnsi="Roboto"/>
                <w:color w:val="000000" w:themeColor="text1"/>
                <w:vertAlign w:val="subscript"/>
              </w:rPr>
              <w:t>T</w:t>
            </w:r>
            <w:r w:rsidRPr="007C6C48">
              <w:rPr>
                <w:rFonts w:ascii="Roboto" w:hAnsi="Roboto"/>
                <w:color w:val="000000" w:themeColor="text1"/>
              </w:rPr>
              <w:t>)</w:t>
            </w:r>
          </w:p>
        </w:tc>
        <w:tc>
          <w:tcPr>
            <w:tcW w:w="2005" w:type="dxa"/>
            <w:tcBorders>
              <w:top w:val="single" w:sz="8" w:space="0" w:color="auto"/>
            </w:tcBorders>
          </w:tcPr>
          <w:p w14:paraId="28CBDCCD" w14:textId="3A7A9408" w:rsidR="00025882"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664" w:type="dxa"/>
            <w:tcBorders>
              <w:top w:val="single" w:sz="8" w:space="0" w:color="auto"/>
            </w:tcBorders>
          </w:tcPr>
          <w:p w14:paraId="25D55942" w14:textId="56D9B83D"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Fig</w:t>
            </w:r>
            <w:r w:rsidR="00370488" w:rsidRPr="007C6C48">
              <w:rPr>
                <w:rFonts w:ascii="Roboto" w:hAnsi="Roboto"/>
                <w:color w:val="000000" w:themeColor="text1"/>
              </w:rPr>
              <w:t>ure</w:t>
            </w:r>
            <w:r w:rsidRPr="007C6C48">
              <w:rPr>
                <w:rFonts w:ascii="Roboto" w:hAnsi="Roboto"/>
                <w:color w:val="000000" w:themeColor="text1"/>
              </w:rPr>
              <w:t xml:space="preserve"> S2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(2024b)","plainTextFormattedCitation":"(Hughes et al., 2024)","previouslyFormattedCitation":"(Hughes et al., 2024b)"},"properties":{"noteIndex":0},"schema":"https://github.com/citation-style-language/schema/raw/master/csl-citation.json"}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Hughes et al. (2024b)</w:t>
            </w:r>
            <w:r w:rsidRPr="007C6C48">
              <w:rPr>
                <w:rFonts w:ascii="Roboto" w:hAnsi="Roboto"/>
                <w:color w:val="000000" w:themeColor="text1"/>
              </w:rPr>
              <w:fldChar w:fldCharType="end"/>
            </w:r>
            <w:r w:rsidRPr="007C6C48">
              <w:rPr>
                <w:rFonts w:ascii="Roboto" w:hAnsi="Roboto"/>
                <w:color w:val="000000" w:themeColor="text1"/>
              </w:rPr>
              <w:t xml:space="preserve"> based on data compilation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{"citationItems":[{"id":"ITEM-1","itemData":{"DOI":"10.1007/S00410-022-01903-Y/FIGURES/10","ISSN":"14320967","abstract":"The solubility of CO2 in mafic magmas is strongly dependent on magma composition, which ultimately affects magma storage conditions and eruptive behavior. Recent experimental work showed that previously published volatile solubility models for mafic magmas are not well calibrated at mid-crustal pressures (400–600 MPa). Using a simple thermodynamic model, here we construct a general CO2 solubility model for mafic magmas by establishing the compositional dependence of two key thermodynamic parameters. The model is calibrated using experimental data from 10 magma compositions that span a range of pressures as well as silica (44–53 wt.%) and total alkali (2–9 wt.%) contents. We also survey the experimental literature for relevant H2O solubility data to determine how to model H2O solubility for these magmas. We combine these separate CO2 and H2O solubility models into a single general model for mixed-fluid (H2O–CO2) solubility in mafic magmas called MafiCH. We test the MafiCH model using experiments from three compositions that fall both within and beyond the calibrated range, and find that the model accurately constrains the CO2 solubility of depolymerized magmas. Sensitivity tests identify that Na, Ca, and Al have the largest effect on CO2 solubility while Si and Mg do not play a strong role in CO2 solubility in mafic, depolymerized melts. Overall, saturation pressures calculated using the new model presented here are typically lower than those predicted by previous models. The model provides a new framework to interpret volcanic data from mafic magma compositions for which no experimental data is available.","author":[{"dropping-particle":"","family":"Allison","given":"Chelsea M.","non-dropping-particle":"","parse-names":false,"suffix":""},{"dropping-particle":"","family":"Roggensack","given":"Kurt","non-dropping-particle":"","parse-names":false,"suffix":""},{"dropping-particle":"","family":"Clarke","given":"Amanda B.","non-dropping-particle":"","parse-names":false,"suffix":""}],"container-title":"Contributions to Mineralogy and Petrology","id":"ITEM-1","issue":"3","issued":{"date-parts":[["2022","3","1"]]},"page":"1-22","publisher":"Springer Science and Business Media Deutschland GmbH","title":"MafiCH: a general model for H2O–CO2 solubility in mafic magmas","type":"article-journal","volume":"177"},"uris":["http://www.mendeley.com/documents/?uuid=8226be74-5d59-36ea-87c7-c81dfa2b934e"]}],"mendeley":{"formattedCitation":"(Allison et al., 2022)","manualFormatting":"Allison et al. (2022)","plainTextFormattedCitation":"(Allison et al., 2022)","previouslyFormattedCitation":"(Allison et al., 2022)"},"properties":{"noteIndex":0},"schema":"https://github.com/citation-style-language/schema/raw/master/csl-citation.json"}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Allison et al. (2022)</w:t>
            </w:r>
            <w:r w:rsidRPr="007C6C48">
              <w:rPr>
                <w:rFonts w:ascii="Roboto" w:hAnsi="Roboto"/>
                <w:color w:val="000000" w:themeColor="text1"/>
              </w:rPr>
              <w:fldChar w:fldCharType="end"/>
            </w:r>
          </w:p>
        </w:tc>
      </w:tr>
      <w:tr w:rsidR="00025882" w:rsidRPr="007C6C48" w14:paraId="56A79ECC" w14:textId="77777777" w:rsidTr="00B45276">
        <w:tc>
          <w:tcPr>
            <w:tcW w:w="1136" w:type="dxa"/>
            <w:tcBorders>
              <w:bottom w:val="single" w:sz="8" w:space="0" w:color="auto"/>
            </w:tcBorders>
          </w:tcPr>
          <w:p w14:paraId="6F925AA8" w14:textId="77777777" w:rsidR="00025882" w:rsidRPr="007C6C48" w:rsidRDefault="00025882" w:rsidP="00B061FC">
            <w:pPr>
              <w:pStyle w:val="NoSpacing"/>
              <w:spacing w:after="0"/>
              <w:rPr>
                <w:rFonts w:ascii="Roboto" w:hAnsi="Roboto"/>
                <w:color w:val="000000" w:themeColor="text1"/>
                <w:highlight w:val="yellow"/>
              </w:rPr>
            </w:pPr>
            <w:r w:rsidRPr="007C6C48">
              <w:rPr>
                <w:rFonts w:ascii="Roboto" w:hAnsi="Roboto"/>
                <w:color w:val="000000" w:themeColor="text1"/>
              </w:rPr>
              <w:t>Constant</w:t>
            </w:r>
          </w:p>
        </w:tc>
        <w:tc>
          <w:tcPr>
            <w:tcW w:w="887" w:type="dxa"/>
            <w:tcBorders>
              <w:bottom w:val="single" w:sz="8" w:space="0" w:color="auto"/>
            </w:tcBorders>
          </w:tcPr>
          <w:p w14:paraId="5CACD903" w14:textId="77777777" w:rsidR="00025882" w:rsidRPr="007C6C48" w:rsidRDefault="00025882" w:rsidP="00B061FC">
            <w:pPr>
              <w:pStyle w:val="NoSpacing"/>
              <w:spacing w:after="0"/>
              <w:jc w:val="right"/>
              <w:rPr>
                <w:rFonts w:ascii="Roboto" w:hAnsi="Roboto"/>
                <w:color w:val="000000" w:themeColor="text1"/>
                <w:highlight w:val="yellow"/>
              </w:rPr>
            </w:pPr>
            <w:r w:rsidRPr="007C6C48">
              <w:rPr>
                <w:rFonts w:ascii="Roboto" w:hAnsi="Roboto"/>
                <w:color w:val="000000" w:themeColor="text1"/>
              </w:rPr>
              <w:t xml:space="preserve">850–1200 </w:t>
            </w:r>
          </w:p>
        </w:tc>
        <w:tc>
          <w:tcPr>
            <w:tcW w:w="867" w:type="dxa"/>
            <w:tcBorders>
              <w:bottom w:val="single" w:sz="8" w:space="0" w:color="auto"/>
            </w:tcBorders>
          </w:tcPr>
          <w:p w14:paraId="6E0E3D33" w14:textId="77777777" w:rsidR="00025882" w:rsidRPr="007C6C48" w:rsidRDefault="00025882" w:rsidP="00B061FC">
            <w:pPr>
              <w:pStyle w:val="NoSpacing"/>
              <w:spacing w:after="0"/>
              <w:jc w:val="right"/>
              <w:rPr>
                <w:rFonts w:ascii="Roboto" w:hAnsi="Roboto"/>
                <w:color w:val="000000" w:themeColor="text1"/>
                <w:highlight w:val="yellow"/>
              </w:rPr>
            </w:pPr>
            <w:r w:rsidRPr="007C6C48">
              <w:rPr>
                <w:rFonts w:ascii="Roboto" w:hAnsi="Roboto"/>
                <w:color w:val="000000" w:themeColor="text1"/>
              </w:rPr>
              <w:t xml:space="preserve">49–2000 </w:t>
            </w:r>
          </w:p>
        </w:tc>
        <w:tc>
          <w:tcPr>
            <w:tcW w:w="1457" w:type="dxa"/>
            <w:tcBorders>
              <w:bottom w:val="single" w:sz="8" w:space="0" w:color="auto"/>
            </w:tcBorders>
          </w:tcPr>
          <w:p w14:paraId="334ECA0F" w14:textId="77777777" w:rsidR="00025882" w:rsidRPr="007C6C48" w:rsidRDefault="00025882" w:rsidP="00B061FC">
            <w:pPr>
              <w:pStyle w:val="NoSpacing"/>
              <w:spacing w:after="0"/>
              <w:rPr>
                <w:rFonts w:ascii="Roboto" w:hAnsi="Roboto"/>
                <w:color w:val="000000" w:themeColor="text1"/>
              </w:rPr>
            </w:pPr>
            <w:r w:rsidRPr="007C6C48">
              <w:rPr>
                <w:rFonts w:ascii="Roboto" w:hAnsi="Roboto"/>
                <w:color w:val="000000" w:themeColor="text1"/>
              </w:rPr>
              <w:t>Rhyolite</w:t>
            </w:r>
          </w:p>
        </w:tc>
        <w:tc>
          <w:tcPr>
            <w:tcW w:w="2005" w:type="dxa"/>
            <w:tcBorders>
              <w:bottom w:val="single" w:sz="8" w:space="0" w:color="auto"/>
            </w:tcBorders>
          </w:tcPr>
          <w:p w14:paraId="1D2BEAB9" w14:textId="794375E0" w:rsidR="00025882"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664" w:type="dxa"/>
            <w:tcBorders>
              <w:bottom w:val="single" w:sz="8" w:space="0" w:color="auto"/>
            </w:tcBorders>
          </w:tcPr>
          <w:p w14:paraId="70AA7717" w14:textId="6B09155C" w:rsidR="00025882" w:rsidRPr="007C6C48" w:rsidRDefault="00370488" w:rsidP="00B061FC">
            <w:pPr>
              <w:pStyle w:val="NoSpacing"/>
              <w:spacing w:after="0"/>
              <w:rPr>
                <w:rFonts w:ascii="Roboto" w:hAnsi="Roboto"/>
                <w:color w:val="000000" w:themeColor="text1"/>
              </w:rPr>
            </w:pPr>
            <w:r w:rsidRPr="007C6C48">
              <w:rPr>
                <w:rFonts w:ascii="Roboto" w:hAnsi="Roboto"/>
                <w:color w:val="000000" w:themeColor="text1"/>
              </w:rPr>
              <w:t>Eq. (S1)</w:t>
            </w:r>
            <w:r w:rsidR="00025882" w:rsidRPr="007C6C48">
              <w:rPr>
                <w:rFonts w:ascii="Roboto" w:hAnsi="Roboto"/>
                <w:color w:val="000000" w:themeColor="text1"/>
              </w:rPr>
              <w:t xml:space="preserve"> based on data from </w:t>
            </w:r>
            <w:r w:rsidR="00025882" w:rsidRPr="007C6C48">
              <w:rPr>
                <w:rFonts w:ascii="Roboto" w:hAnsi="Roboto"/>
              </w:rPr>
              <w:fldChar w:fldCharType="begin" w:fldLock="1"/>
            </w:r>
            <w:r w:rsidR="00025882" w:rsidRPr="007C6C48">
              <w:rPr>
                <w:rFonts w:ascii="Roboto" w:hAnsi="Roboto"/>
              </w:rPr>
              <w:instrText xml:space="preserve">ADDIN CSL_CITATION {"citationItems":[{"id":"ITEM-1","itemData":{"author":[{"dropping-particle":"","family":"Kadik","given":"A.A.","non-dropping-particle":"","parse-names":false,"suffix":""},{"dropping-particle":"","family":"Lukanin","given":"O.A.","non-dropping-particle":"","parse-names":false,"suffix":""},{"dropping-particle":"","family":"Lebedev","given":"Yeo B.","non-dropping-particle":"","parse-names":false,"suffix":""},{"dropping-particle":"","family":"Korovushkina","given":"E. Ye","non-dropping-particle":"","parse-names":false,"suffix":""}],"container-title":"Geochem. Int.","id":"ITEM-1","issued":{"date-parts":[["1972"]]},"page":"1041-1050","title":"Solubility of H2O and CO2 in granite and basalt melts at high pressures","type":"article-journal","volume":"9"},"uris":["http://www.mendeley.com/documents/?uuid=8c64f48d-0d43-4bf3-b19d-7cc79175f015"]},{"id":"ITEM-2","itemData":{"DOI":"10.1007/BF00306439","ISSN":"0010-7999","author":[{"dropping-particle":"","family":"Silver","given":"Lynn A.","non-dropping-particle":"","parse-names":false,"suffix":""},{"dropping-particle":"","family":"Ihinger","given":"Phillip D.","non-dropping-particle":"","parse-names":false,"suffix":""},{"dropping-particle":"","family":"Stolper","given":"Edward M.","non-dropping-particle":"","parse-names":false,"suffix":""}],"container-title":"Contributions to Mineralogy and Petrology","id":"ITEM-2","issue":"2","issued":{"date-parts":[["1990","2"]]},"page":"142-162","publisher":"Springer-Verlag","title":"The influence of bulk composition on the speciation of water in silicate glasses","type":"article-journal","volume":"104"},"uris":["http://www.mendeley.com/documents/?uuid=8ca53ffb-ef22-3cc7-8b6e-f16f15a09865"]},{"id":"ITEM-3","itemData":{"DOI":"10.1016/0012-821X(93)90004-S","ISSN":"0012821X","abstract":"Concentrations of carbon dioxide and water dissolved in glasses quenched from rhyolitic melts equilibrated with H2OCO2 fluids at 850°C and 750 bar were measured using infrared spectroscopy; concentrations of H2O and CO2 in the quenched fluids were measured manometrically. The mole fraction of CO2 in the quenched fluid ranged from 0.06 to 0.91. Concentrations of CO2 in the coexisting rhyolitic melt increased from 23(±6) ppm for the sample equilibrated with the most CO2-poor fluid to 515(±16) ppm for that equilibrated with the most CO2-rich fluid. The water content of the melt varied from 0.51(±0.06) to 3.34(±0.08) wt%. Our results show that concentrations of molecular CO2 and H2O in the glasses obey Henry's Law; i.e., the mole fractions of molecular CO2 and molecular H2O in the quenched melts are proportional to their fugacities in the coexisting vapor. CO2 contents of vapor-saturated melts are not </w:instrText>
            </w:r>
            <w:r w:rsidR="00025882" w:rsidRPr="007C6C48">
              <w:rPr>
                <w:rFonts w:ascii="Roboto" w:hAnsi="Roboto"/>
                <w:lang w:val="nl-NL"/>
              </w:rPr>
              <w:instrText>enhanced by addition of water to CO2-rich vapor, contrary to previous reports for silicate melts at higher pressures. The Henrian behavior of CO2 and H2O at low pressure considerably simplifies modeling of the degassing of silicic magmas. © 1993.","author":[{"dropping-particle":"","family":"Blank","given":"J. G.","non-dropping-particle":"","parse-names":false,"suffix":""},{"dropping-particle":"","family":"Stolper","given":"Edward M.","non-dropping-particle":"","parse-names":false,"suffix":""},{"dropping-particle":"","family":"Carroll","given":"M. R.","non-dropping-particle":"","parse-names":false,"suffix":""}],"container-title":"Earth and Planetary Science Letters","id":"ITEM-3","issue":"1-2","issued":{"date-parts":[["1993","8","1"]]},"page":"27-36","publisher":"Elsevier","title":"Solubilities of carbon dioxide and water in rhyolitic melt at 850°C and 750 bars","type":"article-journal","volume":"119"},"uris":["http://www.mendeley.com/documents/?uuid=de062b80-3b0f-3519-9580-a70f60d20275"]}],"mendeley":{"formattedCitation":"(Blank et al., 1993b; Kadik et al., 1972; Silver et al., 1990)","manualFormatting":"Blank et al. (1993), Kadik et al. (1972), and Silver et al. (1990)","plainTextFormattedCitation":"(Blank et al., 1993b; Kadik et al., 1972; Silver et al., 1990)","previouslyFormattedCitation":"(Blank et al., 1993b; Kadik et al., 1972; Silver et al., 1990)"},"properties":{"noteIndex":0},"schema":"https://github.com/citation-style-language/schema/raw/master/csl-citation.json"}</w:instrText>
            </w:r>
            <w:r w:rsidR="00025882" w:rsidRPr="007C6C48">
              <w:rPr>
                <w:rFonts w:ascii="Roboto" w:hAnsi="Roboto"/>
              </w:rPr>
              <w:fldChar w:fldCharType="separate"/>
            </w:r>
            <w:r w:rsidR="00025882" w:rsidRPr="007C6C48">
              <w:rPr>
                <w:rFonts w:ascii="Roboto" w:hAnsi="Roboto"/>
                <w:noProof/>
                <w:lang w:val="nl-NL"/>
              </w:rPr>
              <w:t xml:space="preserve">Blank et al. (1993), Kadik et al. (1972), and Silver et al. </w:t>
            </w:r>
            <w:r w:rsidR="00025882" w:rsidRPr="007C6C48">
              <w:rPr>
                <w:rFonts w:ascii="Roboto" w:hAnsi="Roboto"/>
                <w:noProof/>
              </w:rPr>
              <w:t>(1990)</w:t>
            </w:r>
            <w:r w:rsidR="00025882" w:rsidRPr="007C6C48">
              <w:rPr>
                <w:rFonts w:ascii="Roboto" w:hAnsi="Roboto"/>
              </w:rPr>
              <w:fldChar w:fldCharType="end"/>
            </w:r>
            <w:r w:rsidR="00025882" w:rsidRPr="007C6C48">
              <w:rPr>
                <w:rFonts w:ascii="Roboto" w:hAnsi="Roboto"/>
                <w:color w:val="000000" w:themeColor="text1"/>
              </w:rPr>
              <w:t xml:space="preserve"> </w:t>
            </w:r>
          </w:p>
        </w:tc>
      </w:tr>
    </w:tbl>
    <w:p w14:paraId="7783D23F" w14:textId="77777777" w:rsidR="0016716F" w:rsidRPr="007C6C48" w:rsidRDefault="0016716F" w:rsidP="0016716F">
      <w:pPr>
        <w:rPr>
          <w:rFonts w:ascii="Roboto" w:hAnsi="Roboto"/>
          <w:highlight w:val="yellow"/>
        </w:rPr>
      </w:pPr>
    </w:p>
    <w:p w14:paraId="1725A86F" w14:textId="55BA607E" w:rsidR="0016716F" w:rsidRPr="007C6C48" w:rsidRDefault="0016716F" w:rsidP="0016716F">
      <w:pPr>
        <w:pStyle w:val="NoSpacing"/>
        <w:spacing w:after="0"/>
        <w:rPr>
          <w:rFonts w:ascii="Roboto" w:hAnsi="Roboto"/>
          <w:color w:val="000000" w:themeColor="text1"/>
        </w:rPr>
      </w:pPr>
      <w:bookmarkStart w:id="9" w:name="_Ref163382294"/>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6</w:t>
      </w:r>
      <w:r w:rsidR="006A647B" w:rsidRPr="007C6C48">
        <w:rPr>
          <w:rFonts w:ascii="Roboto" w:hAnsi="Roboto"/>
          <w:noProof/>
        </w:rPr>
        <w:fldChar w:fldCharType="end"/>
      </w:r>
      <w:bookmarkEnd w:id="9"/>
      <w:r w:rsidRPr="007C6C48">
        <w:rPr>
          <w:rFonts w:ascii="Roboto" w:hAnsi="Roboto"/>
          <w:noProof/>
        </w:rPr>
        <w:t>.</w:t>
      </w:r>
      <w:r w:rsidRPr="007C6C48">
        <w:rPr>
          <w:rFonts w:ascii="Roboto" w:hAnsi="Roboto"/>
        </w:rPr>
        <w:t xml:space="preserve"> Solubility </w:t>
      </w:r>
      <w:r w:rsidR="008A3EE0" w:rsidRPr="007C6C48">
        <w:rPr>
          <w:rFonts w:ascii="Roboto" w:hAnsi="Roboto"/>
        </w:rPr>
        <w:t xml:space="preserve">functions </w:t>
      </w:r>
      <w:r w:rsidRPr="007C6C48">
        <w:rPr>
          <w:rFonts w:ascii="Roboto" w:hAnsi="Roboto"/>
        </w:rPr>
        <w:t>for sulfide and range of conditions of experiments used for calibration.</w:t>
      </w:r>
    </w:p>
    <w:tbl>
      <w:tblPr>
        <w:tblStyle w:val="TableGrid"/>
        <w:tblW w:w="0" w:type="auto"/>
        <w:tblLook w:val="04A0" w:firstRow="1" w:lastRow="0" w:firstColumn="1" w:lastColumn="0" w:noHBand="0" w:noVBand="1"/>
      </w:tblPr>
      <w:tblGrid>
        <w:gridCol w:w="1214"/>
        <w:gridCol w:w="913"/>
        <w:gridCol w:w="894"/>
        <w:gridCol w:w="1671"/>
        <w:gridCol w:w="1820"/>
        <w:gridCol w:w="2504"/>
      </w:tblGrid>
      <w:tr w:rsidR="008A3EE0" w:rsidRPr="007C6C48" w14:paraId="77159CD7" w14:textId="77777777" w:rsidTr="00841EAD">
        <w:tc>
          <w:tcPr>
            <w:tcW w:w="1136" w:type="dxa"/>
            <w:tcBorders>
              <w:top w:val="single" w:sz="8" w:space="0" w:color="auto"/>
              <w:bottom w:val="single" w:sz="8" w:space="0" w:color="auto"/>
            </w:tcBorders>
          </w:tcPr>
          <w:p w14:paraId="1ABB7362" w14:textId="77777777" w:rsidR="008A3EE0" w:rsidRPr="007C6C48" w:rsidRDefault="008A3EE0" w:rsidP="00B061FC">
            <w:pPr>
              <w:pStyle w:val="NoSpacing"/>
              <w:spacing w:after="0"/>
              <w:jc w:val="center"/>
              <w:rPr>
                <w:rFonts w:ascii="Roboto" w:hAnsi="Roboto"/>
              </w:rPr>
            </w:pPr>
            <w:r w:rsidRPr="007C6C48">
              <w:rPr>
                <w:rFonts w:ascii="Roboto" w:hAnsi="Roboto"/>
              </w:rPr>
              <w:t>Variables</w:t>
            </w:r>
          </w:p>
        </w:tc>
        <w:tc>
          <w:tcPr>
            <w:tcW w:w="891" w:type="dxa"/>
            <w:tcBorders>
              <w:top w:val="single" w:sz="8" w:space="0" w:color="auto"/>
              <w:bottom w:val="single" w:sz="8" w:space="0" w:color="auto"/>
            </w:tcBorders>
          </w:tcPr>
          <w:p w14:paraId="24462DE7" w14:textId="77777777" w:rsidR="008A3EE0" w:rsidRPr="007C6C48" w:rsidRDefault="008A3EE0" w:rsidP="00B061FC">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895" w:type="dxa"/>
            <w:tcBorders>
              <w:top w:val="single" w:sz="8" w:space="0" w:color="auto"/>
              <w:bottom w:val="single" w:sz="8" w:space="0" w:color="auto"/>
            </w:tcBorders>
          </w:tcPr>
          <w:p w14:paraId="335BAC58" w14:textId="77777777" w:rsidR="008A3EE0" w:rsidRPr="007C6C48" w:rsidRDefault="008A3EE0" w:rsidP="00B061FC">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693" w:type="dxa"/>
            <w:tcBorders>
              <w:top w:val="single" w:sz="8" w:space="0" w:color="auto"/>
              <w:bottom w:val="single" w:sz="8" w:space="0" w:color="auto"/>
            </w:tcBorders>
          </w:tcPr>
          <w:p w14:paraId="5EEF7300" w14:textId="77777777" w:rsidR="008A3EE0" w:rsidRPr="007C6C48" w:rsidRDefault="008A3EE0" w:rsidP="00B061FC">
            <w:pPr>
              <w:pStyle w:val="NoSpacing"/>
              <w:spacing w:after="0"/>
              <w:jc w:val="center"/>
              <w:rPr>
                <w:rFonts w:ascii="Roboto" w:hAnsi="Roboto"/>
              </w:rPr>
            </w:pPr>
            <w:r w:rsidRPr="007C6C48">
              <w:rPr>
                <w:rFonts w:ascii="Roboto" w:hAnsi="Roboto"/>
              </w:rPr>
              <w:t>Composition</w:t>
            </w:r>
          </w:p>
        </w:tc>
        <w:tc>
          <w:tcPr>
            <w:tcW w:w="1664" w:type="dxa"/>
            <w:tcBorders>
              <w:top w:val="single" w:sz="8" w:space="0" w:color="auto"/>
              <w:bottom w:val="single" w:sz="8" w:space="0" w:color="auto"/>
            </w:tcBorders>
          </w:tcPr>
          <w:p w14:paraId="64C204D1" w14:textId="14443753" w:rsidR="008A3EE0" w:rsidRPr="007C6C48" w:rsidRDefault="008A3EE0" w:rsidP="00B061FC">
            <w:pPr>
              <w:pStyle w:val="NoSpacing"/>
              <w:spacing w:after="0"/>
              <w:jc w:val="center"/>
              <w:rPr>
                <w:rFonts w:ascii="Roboto" w:hAnsi="Roboto"/>
              </w:rPr>
            </w:pPr>
            <w:r w:rsidRPr="007C6C48">
              <w:rPr>
                <w:rFonts w:ascii="Roboto" w:hAnsi="Roboto"/>
              </w:rPr>
              <w:t>Benchmark</w:t>
            </w:r>
          </w:p>
        </w:tc>
        <w:tc>
          <w:tcPr>
            <w:tcW w:w="2737" w:type="dxa"/>
            <w:tcBorders>
              <w:top w:val="single" w:sz="8" w:space="0" w:color="auto"/>
              <w:bottom w:val="single" w:sz="8" w:space="0" w:color="auto"/>
            </w:tcBorders>
          </w:tcPr>
          <w:p w14:paraId="231BA855" w14:textId="5CF9586C" w:rsidR="008A3EE0" w:rsidRPr="007C6C48" w:rsidRDefault="008A3EE0" w:rsidP="00B061FC">
            <w:pPr>
              <w:pStyle w:val="NoSpacing"/>
              <w:spacing w:after="0"/>
              <w:jc w:val="center"/>
              <w:rPr>
                <w:rFonts w:ascii="Roboto" w:hAnsi="Roboto"/>
              </w:rPr>
            </w:pPr>
            <w:r w:rsidRPr="007C6C48">
              <w:rPr>
                <w:rFonts w:ascii="Roboto" w:hAnsi="Roboto"/>
              </w:rPr>
              <w:t>Reference</w:t>
            </w:r>
          </w:p>
        </w:tc>
      </w:tr>
      <w:tr w:rsidR="008A3EE0" w:rsidRPr="007C6C48" w14:paraId="75171BB8" w14:textId="77777777" w:rsidTr="00841EAD">
        <w:tc>
          <w:tcPr>
            <w:tcW w:w="1136" w:type="dxa"/>
            <w:tcBorders>
              <w:top w:val="single" w:sz="8" w:space="0" w:color="auto"/>
            </w:tcBorders>
          </w:tcPr>
          <w:p w14:paraId="132EEDC0" w14:textId="77777777" w:rsidR="008A3EE0" w:rsidRPr="007C6C48" w:rsidRDefault="008A3EE0"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1" w:type="dxa"/>
            <w:tcBorders>
              <w:top w:val="single" w:sz="8" w:space="0" w:color="auto"/>
            </w:tcBorders>
          </w:tcPr>
          <w:p w14:paraId="0A63AC28"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 xml:space="preserve">1200–1500 </w:t>
            </w:r>
          </w:p>
        </w:tc>
        <w:tc>
          <w:tcPr>
            <w:tcW w:w="895" w:type="dxa"/>
            <w:tcBorders>
              <w:top w:val="single" w:sz="8" w:space="0" w:color="auto"/>
            </w:tcBorders>
          </w:tcPr>
          <w:p w14:paraId="2CD01FFF"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3" w:type="dxa"/>
            <w:tcBorders>
              <w:top w:val="single" w:sz="8" w:space="0" w:color="auto"/>
            </w:tcBorders>
          </w:tcPr>
          <w:p w14:paraId="47684C95" w14:textId="77777777" w:rsidR="008A3EE0" w:rsidRPr="007C6C48" w:rsidRDefault="008A3EE0" w:rsidP="00B061FC">
            <w:pPr>
              <w:pStyle w:val="NoSpacing"/>
              <w:spacing w:after="0"/>
              <w:rPr>
                <w:rFonts w:ascii="Roboto" w:hAnsi="Roboto"/>
                <w:color w:val="000000" w:themeColor="text1"/>
              </w:rPr>
            </w:pPr>
            <w:r w:rsidRPr="007C6C48">
              <w:rPr>
                <w:rFonts w:ascii="Roboto" w:hAnsi="Roboto"/>
                <w:color w:val="000000" w:themeColor="text1"/>
              </w:rPr>
              <w:t>Anhydrous basalt to rhyolite</w:t>
            </w:r>
          </w:p>
        </w:tc>
        <w:tc>
          <w:tcPr>
            <w:tcW w:w="1664" w:type="dxa"/>
            <w:tcBorders>
              <w:top w:val="single" w:sz="8" w:space="0" w:color="auto"/>
            </w:tcBorders>
          </w:tcPr>
          <w:p w14:paraId="62E01A53" w14:textId="244E01B8" w:rsidR="008A3EE0" w:rsidRPr="007C6C48" w:rsidRDefault="00CA1CED" w:rsidP="00B061FC">
            <w:pPr>
              <w:pStyle w:val="NoSpacing"/>
              <w:spacing w:after="0"/>
              <w:rPr>
                <w:rFonts w:ascii="Roboto" w:hAnsi="Roboto"/>
                <w:color w:val="000000" w:themeColor="text1"/>
              </w:rPr>
            </w:pPr>
            <w:r w:rsidRPr="007C6C48">
              <w:rPr>
                <w:rFonts w:ascii="Roboto" w:hAnsi="Roboto"/>
                <w:color w:val="000000" w:themeColor="text1"/>
              </w:rPr>
              <w:t>Supplementary spreadsheet</w:t>
            </w:r>
          </w:p>
        </w:tc>
        <w:tc>
          <w:tcPr>
            <w:tcW w:w="2737" w:type="dxa"/>
            <w:tcBorders>
              <w:top w:val="single" w:sz="8" w:space="0" w:color="auto"/>
            </w:tcBorders>
          </w:tcPr>
          <w:p w14:paraId="074ECCE5" w14:textId="023FC11D" w:rsidR="008A3EE0" w:rsidRPr="007C6C48" w:rsidRDefault="008A3EE0" w:rsidP="00B061FC">
            <w:pPr>
              <w:pStyle w:val="NoSpacing"/>
              <w:spacing w:after="0"/>
              <w:rPr>
                <w:rFonts w:ascii="Roboto" w:hAnsi="Roboto"/>
                <w:color w:val="000000" w:themeColor="text1"/>
              </w:rPr>
            </w:pPr>
            <w:r w:rsidRPr="007C6C48">
              <w:rPr>
                <w:rFonts w:ascii="Roboto" w:hAnsi="Roboto"/>
                <w:color w:val="000000" w:themeColor="text1"/>
              </w:rPr>
              <w:t xml:space="preserve">Eq. (10.34)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r w:rsidRPr="007C6C48">
              <w:rPr>
                <w:rFonts w:ascii="Roboto" w:hAnsi="Roboto"/>
                <w:color w:val="000000" w:themeColor="text1"/>
              </w:rPr>
              <w:t xml:space="preserve"> (with or without dilution from H</w:t>
            </w:r>
            <w:r w:rsidRPr="007C6C48">
              <w:rPr>
                <w:rFonts w:ascii="Roboto" w:hAnsi="Roboto"/>
                <w:color w:val="000000" w:themeColor="text1"/>
                <w:vertAlign w:val="subscript"/>
              </w:rPr>
              <w:t>2</w:t>
            </w:r>
            <w:r w:rsidRPr="007C6C48">
              <w:rPr>
                <w:rFonts w:ascii="Roboto" w:hAnsi="Roboto"/>
                <w:color w:val="000000" w:themeColor="text1"/>
              </w:rPr>
              <w:t xml:space="preserve">O), based on data from </w:t>
            </w:r>
            <w:r w:rsidRPr="007C6C48">
              <w:rPr>
                <w:rFonts w:ascii="Roboto" w:hAnsi="Roboto"/>
                <w:color w:val="000000" w:themeColor="text1"/>
              </w:rPr>
              <w:fldChar w:fldCharType="begin" w:fldLock="1"/>
            </w:r>
            <w:r w:rsidRPr="007C6C48">
              <w:rPr>
                <w:rFonts w:ascii="Roboto" w:hAnsi="Roboto"/>
                <w:color w:val="000000" w:themeColor="text1"/>
              </w:rPr>
              <w:instrText xml:space="preserve">ADDIN CSL_CITATION {"citationItems":[{"id":"ITEM-1","itemData":{"DOI":"10.1093/petrology/43.6.1049","ISSN":"00223530","abstract":"The solubility of sulfur as S2 has been experimentally determined for 19 silicate melt compositions in the system CaOMgO-Al2O3-SiO2 (CMAS) ± TiO2 ± FeO, at 1400°C and 1 bar, using CO-CO2-SO2 gas mixtures to vary oxygen fugacity (fO2) and sulfur fugacity (fS2). For all compositions, the solubility is confirmed to be proportional to (fS2/fO2)1/2, allowing the definition of the sulfide capacity (Cs) of a silicate melt as Cs = [S](fO2/fS2)1/2. Additional experiments covering over 150 melt compositions, including some with Na and K, were then used to determine Cs as a function of melt composition at 1400°C. The results were fitted to the equation CS = AO + ∑MAMXM + BFe-TiXFeXTi, where AFe </w:instrText>
            </w:r>
            <w:r w:rsidRPr="007C6C48">
              <w:rPr>
                <w:rFonts w:ascii="Cambria Math" w:hAnsi="Cambria Math" w:cs="Cambria Math"/>
                <w:color w:val="000000" w:themeColor="text1"/>
              </w:rPr>
              <w:instrText>≫</w:instrText>
            </w:r>
            <w:r w:rsidRPr="007C6C48">
              <w:rPr>
                <w:rFonts w:ascii="Roboto" w:hAnsi="Roboto"/>
                <w:color w:val="000000" w:themeColor="text1"/>
              </w:rPr>
              <w:instrText xml:space="preserve"> ACa &gt; AMg,ANa/K,ATi. The FeO content of natural basalts is the dominant control on CS. The equation for CS was then combined with the equation for the thermodynamic equilibrium between silicate melt and immiscible FeS-rich sulfide melt, to develop an expression for the sulfur content at sulfide saturation (SCSS) of the silicate melt. The value of SCSS is independent of fO2 and fS2, but shows an asymmetric U-shaped dependence on the FeO content of the silicate melt. Many of the experiments on Fe-containing melt compositions were saturated with immiscible FeS melt, and these experiments were used to calibrate quantitatively SCSS at 1400°C as a function of melt composition.","author":[{"dropping-particle":"","family":"O'Neill","given":"Hugh St. C.","non-dropping-particle":"","parse-names":false,"suffix":""},{"dropping-particle":"","family":"Mavrogenes","given":"John A.","non-dropping-particle":"","parse-names":false,"suffix":""}],"container-title":"Journal of Petrology","id":"ITEM-1","issue":"6","issued":{"date-parts":[["2002","6","1"]]},"page":"1049-1087","publisher":"Oxford Academic","title":"The sulfide capacity and the sulfur content at sulfide saturation of silicate melts at 1400°C and 1 bar","type":"article-journal","volume":"43"},"uris":["http://www.mendeley.com/documents/?uuid=fa1be182-e32a-3e7a-9548-d65b2dec32f2"]},{"id":"ITEM-2","itemData":{"DOI":"10.1016/J.GCA.2010.08.014","ISSN":"0016-7037","abstract":"The effect of sulfur dissolved as sulfide (S2-) in silicate melts on the activity coefficients of NiO and some other oxides of divalent cations (Ca, Cr, Mn, Fe and Co) has been determined from olivine/melt partitioning experiments at 1400°C in six melt compositions in the system CaO-MgO-Al2O3-SiO2 (CMAS), and in derivatives of these compositions at 1370°C, obtained from the six CMAS compositions by substituting Fe for Mg (FeCMAS). Amounts of S2- were varied from zero to sulfide saturation, reaching 4100μgg-1 S in the most sulfur-rich silicate melt. The sulfide solubilities compare reasonably well with those predicted from the parameterization of the sulfide capacity of silicate melts at 1400°C of O'Neill and Mavrogenes (2002), although in detail systematic deviations indicate that a more sophisticated model may improve the prediction of sulfide capacities.The results show a barely discernible effect of S2- in the silicate melt on Fe, Co and Ni partition coefficients, and also surprisingly, a tiny but resolvable effect on Ca partitioning, but no detectable effect on Cr, Mn or some other lithophile incompatible elements (Sc, Ti, V, Y, Zr and Hf). Decreasing Mg# of olivine (reflecting increasing FeO in the system) has a significant influence on the partitioning of several of the divalent cations, particularly Ca and Ni. We find a remarkably systematic correlation between KDM-Mgol/melt and the ionic radius of M2+, where M=Ca, Cr, Mn, Fe, Co or Ni, which is attributable to a simple relationship between size mismatch and excess free energies of mixing in Mg-rich olivine solid solutions.Neither the effect of S2- nor of Mg#ol is large enough by an order of magnitude to account for the reported variations of KDNi-Mgol/melt obtained from electron microprobe analyses of olivine/glass pairs from mid-ocean ridge basalts (MORBs). Comparing these MORB glass analyses with the Ni-MgO systematics of MORB from other studies in the literature, which were obtained using a variety of analytical techniques, shows that these electron microprobe analyses are anomalous. We suggest that the reported variation of KDNi-Mgol/melt with S content in MORB is an analytical artifact.Mass balance of melt and olivine compositions with the starting compositions shows that dissolved S2- depresses the olivine liquidus of haplobasaltic silicate melts by 5.8×10-3 (±1.3×10-3) K per μgg-1 of S2-, which is negligible in most contexts. We also present data for the partitioning of some incompatible …","author":[{"dropping-particle":"","family":"Tuff","given":"James","non-dropping-particle":"","parse-names":false,"suffix":""},{"dropping-particle":"","family":"O'Neill","given":"Hugh St C.","non-dropping-particle":"","parse-names":false,"suffix":""}],"container-title":"Geochimica et Cosmochimica Acta","id":"ITEM-2","issue":"21","issued":{"date-parts":[["2010","11","1"]]},"page":"6180-6205","publisher":"Pergamon","title":"The effect of sulfur on the partitioning of Ni and other first-row transition elements between olivine and silicate melt","type":"article-journal","volume":"74"},"uris":["http://www.mendeley.com/documents/?uuid=e7a815b6-5836-349f-860f-f2333f35856d"]},{"id":"ITEM-3","itemData":{"DOI":"10.2113/GSECONGEO.69.4.451","ISSN":"0361-0128","abstract":"Factors controlling the solubility of sulfur in mafic magmas are temperature, composition, and fugacities of the gaseous species O 2 and S 2. In order to determine how these factors control the solubility of sulfur, experiments have been conducted at one atmosphere total pressure and at f o2 and f s2 controlled by mixing of SO 2, CO 2, and CO. All common mafic magmas are within a range of f o2 and f s2 such that sulfide sulfur is the most important species in the melt. Within this range, a temperature increase of 100°C magnifies the capacity of a magma to dissolve sulfur by a factor of 5 to 7 times, assuming a constant ratio of f o2 to f s2. Increases in f o2 and f s2 cause, respectively, decreases and increases in sulfur solubility. The general relationship between the magma composition and the sulfur-carrying capacity of a magma has also been determined. The strongest positive correlation of sulfur content is observed with the ferrous iron content. Because other components influence the activity coefficient of FeO and thereby the solubility of ferrous iron, their effect on the sulfur-carrying capacity is complex. The maximum solubility of sulfur in a magma of basaltic composition at 1,200° C, was found to vary from 0.05 to 0.2 weight percent as the FeO content was increased from 5 to 20 weight percent. In nature all of the controlling variables change during cooling and crystallization of a magma, and each or all of them may bring a magma to saturation, thereby causing a sulfide phase to precipitate. Under most conditions the sulfide phase which precipitates from a mafic magma will be an immiscible iron-sulfide-oxide liquid. © 1974 Society of Economic Geologists, Inc.","author":[{"dropping-particle":"","family":"Haughton","given":"David R.","non-dropping-particle":"","parse-names":false,"suffix":""},{"dropping-particle":"","family":"Roeder","given":"Peter L.","non-dropping-particle":"","parse-names":false,"suffix":""},{"dropping-particle":"","family":"Skinner","given":"Brian J.","non-dropping-particle":"","parse-names":false,"suffix":""}],"container-title":"Economic Geology","id":"ITEM-3","issue":"4","issued":{"date-parts":[["1974","7","1"]]},"page":"451-467","publisher":"GeoScienceWorld","title":"Solubility of Sulfur in Mafic Magmas","type":"article-journal","volume":"69"},"uris":["http://www.mendeley.com/documents/?uuid=a09db535-b96f-3f45-9667-dd16b1b3bd0f"]}],"mendeley":{"formattedCitation":"(Haughton et al., 1974; O’Neill and Mavrogenes, 2002; Tuff and O’Neill, 2010)","manualFormatting":"Haughton et al. (1974), O’Neill and Mavrogenes (2002), and Tuff and O’Neill (2010)","plainTextFormattedCitation":"(Haughton et al., 1974; O’Neill and Mavrogenes, 2002; Tuff and O’Neill, 2010)","previouslyFormattedCitation":"(Haughton et al., 1974; O’Neill and Mavrogenes, 2002; Tuff and O’Neill, 2010)"},"properties":{"noteIndex":0},"schema":"https://github.com/citation-style-language/schema/raw/master/csl-citation.json"}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Haughton et al. (1974), O’Neill and Mavrogenes (2002), and Tuff and O’Neill (2010)</w:t>
            </w:r>
            <w:r w:rsidRPr="007C6C48">
              <w:rPr>
                <w:rFonts w:ascii="Roboto" w:hAnsi="Roboto"/>
                <w:color w:val="000000" w:themeColor="text1"/>
              </w:rPr>
              <w:fldChar w:fldCharType="end"/>
            </w:r>
            <w:r w:rsidRPr="007C6C48">
              <w:rPr>
                <w:rFonts w:ascii="Roboto" w:hAnsi="Roboto"/>
                <w:color w:val="000000" w:themeColor="text1"/>
              </w:rPr>
              <w:t xml:space="preserve"> </w:t>
            </w:r>
          </w:p>
        </w:tc>
      </w:tr>
      <w:tr w:rsidR="008A3EE0" w:rsidRPr="007C6C48" w14:paraId="671D9EC0" w14:textId="77777777" w:rsidTr="00841EAD">
        <w:tc>
          <w:tcPr>
            <w:tcW w:w="1136" w:type="dxa"/>
          </w:tcPr>
          <w:p w14:paraId="128F5A55" w14:textId="77777777" w:rsidR="008A3EE0" w:rsidRPr="007C6C48" w:rsidRDefault="008A3EE0"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1" w:type="dxa"/>
          </w:tcPr>
          <w:p w14:paraId="2089255B"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 xml:space="preserve">1045–1500 </w:t>
            </w:r>
          </w:p>
        </w:tc>
        <w:tc>
          <w:tcPr>
            <w:tcW w:w="895" w:type="dxa"/>
          </w:tcPr>
          <w:p w14:paraId="486AC98F"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 xml:space="preserve">1–15000 </w:t>
            </w:r>
          </w:p>
        </w:tc>
        <w:tc>
          <w:tcPr>
            <w:tcW w:w="1693" w:type="dxa"/>
          </w:tcPr>
          <w:p w14:paraId="43C340F3" w14:textId="77777777" w:rsidR="008A3EE0" w:rsidRPr="007C6C48" w:rsidRDefault="008A3EE0" w:rsidP="00B061FC">
            <w:pPr>
              <w:pStyle w:val="NoSpacing"/>
              <w:spacing w:after="0"/>
              <w:rPr>
                <w:rFonts w:ascii="Roboto" w:hAnsi="Roboto"/>
                <w:color w:val="FF0000"/>
              </w:rPr>
            </w:pPr>
            <w:r w:rsidRPr="007C6C48">
              <w:rPr>
                <w:rFonts w:ascii="Roboto" w:hAnsi="Roboto"/>
                <w:color w:val="000000" w:themeColor="text1"/>
              </w:rPr>
              <w:t>Hydrous basalt to rhyolite</w:t>
            </w:r>
          </w:p>
        </w:tc>
        <w:tc>
          <w:tcPr>
            <w:tcW w:w="1664" w:type="dxa"/>
          </w:tcPr>
          <w:p w14:paraId="306FFBAA" w14:textId="0F64209C" w:rsidR="008A3EE0" w:rsidRPr="007C6C48" w:rsidRDefault="00726532" w:rsidP="00B061FC">
            <w:pPr>
              <w:pStyle w:val="NoSpacing"/>
              <w:spacing w:after="0"/>
              <w:rPr>
                <w:rFonts w:ascii="Roboto" w:hAnsi="Roboto"/>
                <w:color w:val="000000" w:themeColor="text1"/>
              </w:rPr>
            </w:pPr>
            <w:r w:rsidRPr="007C6C48">
              <w:rPr>
                <w:rFonts w:ascii="Roboto" w:hAnsi="Roboto"/>
              </w:rPr>
              <w:t>-</w:t>
            </w:r>
          </w:p>
        </w:tc>
        <w:tc>
          <w:tcPr>
            <w:tcW w:w="2737" w:type="dxa"/>
          </w:tcPr>
          <w:p w14:paraId="349F877D" w14:textId="4A5EC31D" w:rsidR="008A3EE0" w:rsidRPr="007C6C48" w:rsidRDefault="008A3EE0" w:rsidP="00B061FC">
            <w:pPr>
              <w:pStyle w:val="NoSpacing"/>
              <w:spacing w:after="0"/>
              <w:rPr>
                <w:rFonts w:ascii="Roboto" w:hAnsi="Roboto"/>
                <w:color w:val="FF0000"/>
              </w:rPr>
            </w:pPr>
            <w:r w:rsidRPr="007C6C48">
              <w:rPr>
                <w:rFonts w:ascii="Roboto" w:hAnsi="Roboto"/>
                <w:color w:val="000000" w:themeColor="text1"/>
              </w:rPr>
              <w:t>Eq. (10.34, 10.49) from</w:t>
            </w:r>
            <w:r w:rsidRPr="007C6C48">
              <w:rPr>
                <w:rFonts w:ascii="Roboto" w:hAnsi="Roboto"/>
                <w:color w:val="0070C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p>
        </w:tc>
      </w:tr>
      <w:tr w:rsidR="008A3EE0" w:rsidRPr="007C6C48" w14:paraId="76D8FB9B" w14:textId="77777777" w:rsidTr="00841EAD">
        <w:tc>
          <w:tcPr>
            <w:tcW w:w="1136" w:type="dxa"/>
          </w:tcPr>
          <w:p w14:paraId="76600B81" w14:textId="77777777" w:rsidR="008A3EE0" w:rsidRPr="007C6C48" w:rsidRDefault="008A3EE0"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1" w:type="dxa"/>
          </w:tcPr>
          <w:p w14:paraId="5DA6594F"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1000–1500 </w:t>
            </w:r>
          </w:p>
        </w:tc>
        <w:tc>
          <w:tcPr>
            <w:tcW w:w="895" w:type="dxa"/>
          </w:tcPr>
          <w:p w14:paraId="51BD18DE"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3" w:type="dxa"/>
          </w:tcPr>
          <w:p w14:paraId="5E6FEF70" w14:textId="77777777" w:rsidR="008A3EE0" w:rsidRPr="007C6C48" w:rsidRDefault="008A3EE0" w:rsidP="00B061FC">
            <w:pPr>
              <w:pStyle w:val="NoSpacing"/>
              <w:spacing w:after="0"/>
              <w:rPr>
                <w:rFonts w:ascii="Roboto" w:hAnsi="Roboto"/>
                <w:color w:val="000000" w:themeColor="text1"/>
              </w:rPr>
            </w:pPr>
            <w:r w:rsidRPr="007C6C48">
              <w:rPr>
                <w:rFonts w:ascii="Roboto" w:hAnsi="Roboto"/>
                <w:color w:val="000000" w:themeColor="text1"/>
              </w:rPr>
              <w:t>Anhydrous basalt to andesite</w:t>
            </w:r>
          </w:p>
        </w:tc>
        <w:tc>
          <w:tcPr>
            <w:tcW w:w="1664" w:type="dxa"/>
          </w:tcPr>
          <w:p w14:paraId="1F021743" w14:textId="2E55D230" w:rsidR="008A3EE0" w:rsidRPr="007C6C48" w:rsidRDefault="00726532" w:rsidP="00B061FC">
            <w:pPr>
              <w:pStyle w:val="NoSpacing"/>
              <w:spacing w:after="0"/>
              <w:rPr>
                <w:rFonts w:ascii="Roboto" w:hAnsi="Roboto"/>
                <w:color w:val="000000" w:themeColor="text1"/>
              </w:rPr>
            </w:pPr>
            <w:r w:rsidRPr="007C6C48">
              <w:rPr>
                <w:rFonts w:ascii="Roboto" w:hAnsi="Roboto"/>
              </w:rPr>
              <w:t>-</w:t>
            </w:r>
          </w:p>
        </w:tc>
        <w:tc>
          <w:tcPr>
            <w:tcW w:w="2737" w:type="dxa"/>
          </w:tcPr>
          <w:p w14:paraId="07418005" w14:textId="53167136" w:rsidR="008A3EE0" w:rsidRPr="007C6C48" w:rsidRDefault="008A3EE0" w:rsidP="00B061FC">
            <w:pPr>
              <w:pStyle w:val="NoSpacing"/>
              <w:spacing w:after="0"/>
              <w:rPr>
                <w:rFonts w:ascii="Roboto" w:hAnsi="Roboto"/>
                <w:color w:val="FF0000"/>
              </w:rPr>
            </w:pPr>
            <w:r w:rsidRPr="007C6C48">
              <w:rPr>
                <w:rFonts w:ascii="Roboto" w:hAnsi="Roboto"/>
                <w:color w:val="000000" w:themeColor="text1"/>
              </w:rPr>
              <w:t xml:space="preserve">Eq. (6)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{"citationItems":[{"id":"ITEM-1","itemData":{"DOI":"10.1007/S00410-023-02033-9/FIGURES/9","ISSN":"14320967","abstract":"We have determined the solubility of sulfur (S) as sulfide (S2–) for 13 different natural melt compositions at temperatures of 1473–1773 K under controlled conditions of oxygen and sulfur fugacities (fO2 and fS2, respectively). The S and major element contents of the quenched glasses were determined by electron microprobe. The sulfide capacity parameter (CS2–) was used to express S2– solubility as a function of the oxygen and sulfur fugacities according to the equation: logCS2-=logSmelt(wt%)+0.5log(fO2fS2) . Sulfide capacities of silicate melts were found to increase with temperature and the FeO content of the melt. We combined our sulfide data at 1473–1773 K with (O’Neill and Mavrogenes, J Petrol 43:1049–1087, 2002) results at 1673 K, and obtained by stepwise linear regression the following equation for sulfide capacity logCS2-=0.225+(25237XFeO+5214XCaO+12705XMnO+19829XK2O-1109XSi0.5O-8879)/T . X MO is the mole fraction of the oxide of M on a single-oxygen basis, and T is in Kelvin. The sulfide capacity equation was combined with sulfate capacity (CS6+) data for similar compositions and at the same temperatures (Boulliung and Wood, Geochim Cosmochim Acta 336:150–164, 2022), to estimate the S redox state (S6+/S2– ratio) as a function of melt composition, temperature and oxygen fugacity. Results obtained are in good agreement with earlier measurements of S6+/S2– for basaltic and andesitic compositions. We observe a significant increase, however, relative to FMQ of the oxygen fugacity of the S2– to S6+ transition as temperature is lowered from 1773 to 1473 K. We used our results to simulate sulfur-degassing paths for basaltic compositions under various redox conditions (FMQ –2 log fO2 units to FMQ + 2). The calculations indicate that, given an initial concentration of 0.12 wt% S in an ascending melt at 250 MPa, most of the S (&gt; 80%) will be degassed before the magma reaches 100 MPa pressure.","author":[{"dropping-particle":"","family":"Boulliung","given":"Julien","non-dropping-particle":"","parse-names":false,"suffix":""},{"dropping-particle":"","family":"Wood","given":"Bernard J.","non-dropping-particle":"","parse-names":false,"suffix":""}],"container-title":"Contributions to Mineralogy and Petrology","id":"ITEM-1","issue":"8","issued":{"date-parts":[["2023","8","1"]]},"page":"1-15","publisher":"Springer Science and Business Media Deutschland GmbH","title":"Sulfur oxidation state and solubility in silicate melts","type":"article-journal","volume":"178"},"uris":["http://www.mendeley.com/documents/?uuid=78330925-a8ba-35e2-a6b2-a02653198b68"]}],"mendeley":{"formattedCitation":"(Boulliung and Wood, 2023a)","manualFormatting":"Boulliung and Wood (2023a)","plainTextFormattedCitation":"(Boulliung and Wood, 2023a)","previouslyFormattedCitation":"(Boulliung and Wood, 2023a)"},"properties":{"noteIndex":0},"schema":"https://github.com/citation-style-language/schema/raw/master/csl-citation.json"}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(2023a)</w:t>
            </w:r>
            <w:r w:rsidRPr="007C6C48">
              <w:rPr>
                <w:rFonts w:ascii="Roboto" w:hAnsi="Roboto"/>
                <w:color w:val="000000" w:themeColor="text1"/>
              </w:rPr>
              <w:fldChar w:fldCharType="end"/>
            </w:r>
          </w:p>
        </w:tc>
      </w:tr>
      <w:tr w:rsidR="008A3EE0" w:rsidRPr="007C6C48" w14:paraId="1E93334A" w14:textId="77777777" w:rsidTr="00841EAD">
        <w:tc>
          <w:tcPr>
            <w:tcW w:w="1136" w:type="dxa"/>
            <w:tcBorders>
              <w:bottom w:val="single" w:sz="8" w:space="0" w:color="auto"/>
            </w:tcBorders>
          </w:tcPr>
          <w:p w14:paraId="7D39678F" w14:textId="77777777" w:rsidR="008A3EE0" w:rsidRPr="007C6C48" w:rsidRDefault="008A3EE0"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1" w:type="dxa"/>
            <w:tcBorders>
              <w:bottom w:val="single" w:sz="8" w:space="0" w:color="auto"/>
            </w:tcBorders>
          </w:tcPr>
          <w:p w14:paraId="1E46DBB4"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1000–1500</w:t>
            </w:r>
          </w:p>
        </w:tc>
        <w:tc>
          <w:tcPr>
            <w:tcW w:w="895" w:type="dxa"/>
            <w:tcBorders>
              <w:bottom w:val="single" w:sz="8" w:space="0" w:color="auto"/>
            </w:tcBorders>
          </w:tcPr>
          <w:p w14:paraId="1F673A85" w14:textId="77777777" w:rsidR="008A3EE0" w:rsidRPr="007C6C48" w:rsidRDefault="008A3EE0"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3" w:type="dxa"/>
            <w:tcBorders>
              <w:bottom w:val="single" w:sz="8" w:space="0" w:color="auto"/>
            </w:tcBorders>
          </w:tcPr>
          <w:p w14:paraId="563CC7A6" w14:textId="77777777" w:rsidR="008A3EE0" w:rsidRPr="007C6C48" w:rsidRDefault="008A3EE0" w:rsidP="00B061FC">
            <w:pPr>
              <w:pStyle w:val="NoSpacing"/>
              <w:spacing w:after="0"/>
              <w:rPr>
                <w:rFonts w:ascii="Roboto" w:hAnsi="Roboto"/>
                <w:color w:val="FF0000"/>
              </w:rPr>
            </w:pPr>
            <w:r w:rsidRPr="007C6C48">
              <w:rPr>
                <w:rFonts w:ascii="Roboto" w:hAnsi="Roboto"/>
                <w:color w:val="000000" w:themeColor="text1"/>
              </w:rPr>
              <w:t>Anhydrous basalt to rhyolite</w:t>
            </w:r>
          </w:p>
        </w:tc>
        <w:tc>
          <w:tcPr>
            <w:tcW w:w="1664" w:type="dxa"/>
            <w:tcBorders>
              <w:bottom w:val="single" w:sz="8" w:space="0" w:color="auto"/>
            </w:tcBorders>
          </w:tcPr>
          <w:p w14:paraId="5E97A18C" w14:textId="484718D4" w:rsidR="008A3EE0"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t>Supplementary spreadsheet</w:t>
            </w:r>
          </w:p>
        </w:tc>
        <w:tc>
          <w:tcPr>
            <w:tcW w:w="2737" w:type="dxa"/>
            <w:tcBorders>
              <w:bottom w:val="single" w:sz="8" w:space="0" w:color="auto"/>
            </w:tcBorders>
          </w:tcPr>
          <w:p w14:paraId="74C40225" w14:textId="2E43155F" w:rsidR="008A3EE0" w:rsidRPr="007C6C48" w:rsidRDefault="008A3EE0" w:rsidP="00B061FC">
            <w:pPr>
              <w:pStyle w:val="NoSpacing"/>
              <w:spacing w:after="0"/>
              <w:rPr>
                <w:rFonts w:ascii="Roboto" w:hAnsi="Roboto"/>
                <w:color w:val="FF0000"/>
              </w:rPr>
            </w:pPr>
            <w:r w:rsidRPr="007C6C48">
              <w:rPr>
                <w:rFonts w:ascii="Roboto" w:hAnsi="Roboto"/>
                <w:color w:val="000000" w:themeColor="text1"/>
              </w:rPr>
              <w:t>Eq. (7) from</w:t>
            </w:r>
            <w:r w:rsidRPr="007C6C48">
              <w:rPr>
                <w:rFonts w:ascii="Roboto" w:hAnsi="Roboto"/>
                <w:color w:val="FF000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{"citationItems":[{"id":"ITEM-1","itemData":{"DOI":"10.1007/S00410-023-02033-9/FIGURES/9","ISSN":"14320967","abstract":"We have determined the solubility of sulfur (S) as sulfide (S2–) for 13 different natural melt compositions at temperatures of 1473–1773 K under controlled conditions of oxygen and sulfur fugacities (fO2 and fS2, respectively). The S and major element contents of the quenched glasses were determined by electron microprobe. The sulfide capacity parameter (CS2–) was used to express S2– solubility as a function of the oxygen and sulfur fugacities according to the equation: logCS2-=logSmelt(wt%)+0.5log(fO2fS2) . Sulfide capacities of silicate melts were found to increase with temperature and the FeO content of the melt. We combined our sulfide data at 1473–1773 K with (O’Neill and Mavrogenes, J Petrol 43:1049–1087, 2002) results at 1673 K, and obtained by stepwise linear regression the following equation for sulfide capacity logCS2-=0.225+(25237XFeO+5214XCaO+12705XMnO+19829XK2O-1109XSi0.5O-8879)/T . X MO is the mole fraction of the oxide of M on a single-oxygen basis, and T is in Kelvin. The sulfide capacity equation was combined with sulfate capacity (CS6+) data for similar compositions and at the same temperatures (Boulliung and Wood, Geochim Cosmochim Acta 336:150–164, 2022), to estimate the S redox state (S6+/S2– ratio) as a function of melt composition, temperature and oxygen fugacity. Results obtained are in good agreement with earlier measurements of S6+/S2– for basaltic and andesitic compositions. We observe a significant increase, however, relative to FMQ of the oxygen fugacity of the S2– to S6+ transition as temperature is lowered from 1773 to 1473 K. We used our results to simulate sulfur-degassing paths for basaltic compositions under various redox conditions (FMQ –2 log fO2 units to FMQ + 2). The calculations indicate that, given an initial concentration of 0.12 wt% S in an ascending melt at 250 MPa, most of the S (&gt; 80%) will be degassed before the magma reaches 100 MPa pressure.","author":[{"dropping-particle":"","family":"Boulliung","given":"Julien","non-dropping-particle":"","parse-names":false,"suffix":""},{"dropping-particle":"","family":"Wood","given":"Bernard J.","non-dropping-particle":"","parse-names":false,"suffix":""}],"container-title":"Contributions to Mineralogy and Petrology","id":"ITEM-1","issue":"8","issued":{"date-parts":[["2023","8","1"]]},"page":"1-15","publisher":"Springer Science and Business Media Deutschland GmbH","title":"Sulfur oxidation state and solubility in silicate melts","type":"article-journal","volume":"178"},"uris":["http://www.mendeley.com/documents/?uuid=78330925-a8ba-35e2-a6b2-a02653198b68"]}],"mendeley":{"formattedCitation":"(Boulliung and Wood, 2023a)","manualFormatting":"Boulliung and Wood (2023a)","plainTextFormattedCitation":"(Boulliung and Wood, 2023a)","previouslyFormattedCitation":"(Boulliung and Wood, 2023a)"},"properties":{"noteIndex":0},"schema":"https://github.com/citation-style-language/schema/raw/master/csl-citation.json"}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(2023a)</w:t>
            </w:r>
            <w:r w:rsidRPr="007C6C48">
              <w:rPr>
                <w:rFonts w:ascii="Roboto" w:hAnsi="Roboto"/>
                <w:color w:val="000000" w:themeColor="text1"/>
              </w:rPr>
              <w:fldChar w:fldCharType="end"/>
            </w:r>
          </w:p>
        </w:tc>
      </w:tr>
    </w:tbl>
    <w:p w14:paraId="10235C74" w14:textId="77777777" w:rsidR="0016716F" w:rsidRPr="007C6C48" w:rsidRDefault="0016716F" w:rsidP="0016716F">
      <w:pPr>
        <w:rPr>
          <w:rFonts w:ascii="Roboto" w:hAnsi="Roboto"/>
          <w:highlight w:val="yellow"/>
        </w:rPr>
      </w:pPr>
    </w:p>
    <w:p w14:paraId="379E74F4" w14:textId="374E9D6B" w:rsidR="0016716F" w:rsidRPr="007C6C48" w:rsidRDefault="0016716F" w:rsidP="0016716F">
      <w:pPr>
        <w:pStyle w:val="NoSpacing"/>
        <w:spacing w:after="0"/>
        <w:rPr>
          <w:rFonts w:ascii="Roboto" w:hAnsi="Roboto"/>
          <w:color w:val="000000" w:themeColor="text1"/>
        </w:rPr>
      </w:pPr>
      <w:bookmarkStart w:id="10" w:name="_Ref163382313"/>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7</w:t>
      </w:r>
      <w:r w:rsidR="006A647B" w:rsidRPr="007C6C48">
        <w:rPr>
          <w:rFonts w:ascii="Roboto" w:hAnsi="Roboto"/>
          <w:noProof/>
        </w:rPr>
        <w:fldChar w:fldCharType="end"/>
      </w:r>
      <w:bookmarkEnd w:id="10"/>
      <w:r w:rsidRPr="007C6C48">
        <w:rPr>
          <w:rFonts w:ascii="Roboto" w:hAnsi="Roboto"/>
          <w:noProof/>
        </w:rPr>
        <w:t>.</w:t>
      </w:r>
      <w:r w:rsidRPr="007C6C48">
        <w:rPr>
          <w:rFonts w:ascii="Roboto" w:hAnsi="Roboto"/>
        </w:rPr>
        <w:t xml:space="preserve"> Solubility </w:t>
      </w:r>
      <w:r w:rsidR="008A3EE0" w:rsidRPr="007C6C48">
        <w:rPr>
          <w:rFonts w:ascii="Roboto" w:hAnsi="Roboto"/>
        </w:rPr>
        <w:t xml:space="preserve">functions </w:t>
      </w:r>
      <w:r w:rsidRPr="007C6C48">
        <w:rPr>
          <w:rFonts w:ascii="Roboto" w:hAnsi="Roboto"/>
        </w:rPr>
        <w:t>for sulfate and range of conditions of experiments used for calibration.</w:t>
      </w:r>
    </w:p>
    <w:tbl>
      <w:tblPr>
        <w:tblStyle w:val="TableGrid"/>
        <w:tblW w:w="0" w:type="auto"/>
        <w:tblLook w:val="04A0" w:firstRow="1" w:lastRow="0" w:firstColumn="1" w:lastColumn="0" w:noHBand="0" w:noVBand="1"/>
      </w:tblPr>
      <w:tblGrid>
        <w:gridCol w:w="1214"/>
        <w:gridCol w:w="913"/>
        <w:gridCol w:w="871"/>
        <w:gridCol w:w="1685"/>
        <w:gridCol w:w="1880"/>
        <w:gridCol w:w="2453"/>
      </w:tblGrid>
      <w:tr w:rsidR="00711D5B" w:rsidRPr="007C6C48" w14:paraId="62013692" w14:textId="77777777" w:rsidTr="00B45276">
        <w:tc>
          <w:tcPr>
            <w:tcW w:w="1136" w:type="dxa"/>
            <w:tcBorders>
              <w:top w:val="single" w:sz="8" w:space="0" w:color="auto"/>
              <w:bottom w:val="single" w:sz="8" w:space="0" w:color="auto"/>
            </w:tcBorders>
            <w:vAlign w:val="center"/>
          </w:tcPr>
          <w:p w14:paraId="54F991ED" w14:textId="77777777" w:rsidR="00711D5B" w:rsidRPr="007C6C48" w:rsidRDefault="00711D5B" w:rsidP="00025882">
            <w:pPr>
              <w:pStyle w:val="NoSpacing"/>
              <w:spacing w:after="0"/>
              <w:jc w:val="center"/>
              <w:rPr>
                <w:rFonts w:ascii="Roboto" w:hAnsi="Roboto"/>
              </w:rPr>
            </w:pPr>
            <w:r w:rsidRPr="007C6C48">
              <w:rPr>
                <w:rFonts w:ascii="Roboto" w:hAnsi="Roboto"/>
              </w:rPr>
              <w:t>Variables</w:t>
            </w:r>
          </w:p>
        </w:tc>
        <w:tc>
          <w:tcPr>
            <w:tcW w:w="893" w:type="dxa"/>
            <w:tcBorders>
              <w:top w:val="single" w:sz="8" w:space="0" w:color="auto"/>
              <w:bottom w:val="single" w:sz="8" w:space="0" w:color="auto"/>
            </w:tcBorders>
            <w:vAlign w:val="center"/>
          </w:tcPr>
          <w:p w14:paraId="05601069" w14:textId="77777777" w:rsidR="00711D5B" w:rsidRPr="007C6C48" w:rsidRDefault="00711D5B" w:rsidP="00025882">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873" w:type="dxa"/>
            <w:tcBorders>
              <w:top w:val="single" w:sz="8" w:space="0" w:color="auto"/>
              <w:bottom w:val="single" w:sz="8" w:space="0" w:color="auto"/>
            </w:tcBorders>
            <w:vAlign w:val="center"/>
          </w:tcPr>
          <w:p w14:paraId="5162416B" w14:textId="77777777" w:rsidR="00711D5B" w:rsidRPr="007C6C48" w:rsidRDefault="00711D5B" w:rsidP="00025882">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694" w:type="dxa"/>
            <w:tcBorders>
              <w:top w:val="single" w:sz="8" w:space="0" w:color="auto"/>
              <w:bottom w:val="single" w:sz="8" w:space="0" w:color="auto"/>
            </w:tcBorders>
            <w:vAlign w:val="center"/>
          </w:tcPr>
          <w:p w14:paraId="41748554" w14:textId="77777777" w:rsidR="00711D5B" w:rsidRPr="007C6C48" w:rsidRDefault="00711D5B" w:rsidP="00025882">
            <w:pPr>
              <w:pStyle w:val="NoSpacing"/>
              <w:spacing w:after="0"/>
              <w:jc w:val="center"/>
              <w:rPr>
                <w:rFonts w:ascii="Roboto" w:hAnsi="Roboto"/>
              </w:rPr>
            </w:pPr>
            <w:r w:rsidRPr="007C6C48">
              <w:rPr>
                <w:rFonts w:ascii="Roboto" w:hAnsi="Roboto"/>
              </w:rPr>
              <w:t>Composition</w:t>
            </w:r>
          </w:p>
        </w:tc>
        <w:tc>
          <w:tcPr>
            <w:tcW w:w="1885" w:type="dxa"/>
            <w:tcBorders>
              <w:top w:val="single" w:sz="8" w:space="0" w:color="auto"/>
              <w:bottom w:val="single" w:sz="8" w:space="0" w:color="auto"/>
            </w:tcBorders>
            <w:vAlign w:val="center"/>
          </w:tcPr>
          <w:p w14:paraId="78C34B1B" w14:textId="0999B9F3" w:rsidR="00711D5B" w:rsidRPr="007C6C48" w:rsidRDefault="00711D5B" w:rsidP="00025882">
            <w:pPr>
              <w:pStyle w:val="NoSpacing"/>
              <w:spacing w:after="0"/>
              <w:jc w:val="center"/>
              <w:rPr>
                <w:rFonts w:ascii="Roboto" w:hAnsi="Roboto"/>
              </w:rPr>
            </w:pPr>
            <w:r w:rsidRPr="007C6C48">
              <w:rPr>
                <w:rFonts w:ascii="Roboto" w:hAnsi="Roboto"/>
              </w:rPr>
              <w:t>Benchmark</w:t>
            </w:r>
          </w:p>
        </w:tc>
        <w:tc>
          <w:tcPr>
            <w:tcW w:w="2535" w:type="dxa"/>
            <w:tcBorders>
              <w:top w:val="single" w:sz="8" w:space="0" w:color="auto"/>
              <w:bottom w:val="single" w:sz="8" w:space="0" w:color="auto"/>
            </w:tcBorders>
            <w:vAlign w:val="center"/>
          </w:tcPr>
          <w:p w14:paraId="2E2BD117" w14:textId="47C8ADE0" w:rsidR="00711D5B" w:rsidRPr="007C6C48" w:rsidRDefault="00711D5B" w:rsidP="00025882">
            <w:pPr>
              <w:pStyle w:val="NoSpacing"/>
              <w:spacing w:after="0"/>
              <w:jc w:val="center"/>
              <w:rPr>
                <w:rFonts w:ascii="Roboto" w:hAnsi="Roboto"/>
              </w:rPr>
            </w:pPr>
            <w:r w:rsidRPr="007C6C48">
              <w:rPr>
                <w:rFonts w:ascii="Roboto" w:hAnsi="Roboto"/>
              </w:rPr>
              <w:t>Reference</w:t>
            </w:r>
          </w:p>
        </w:tc>
      </w:tr>
      <w:tr w:rsidR="00711D5B" w:rsidRPr="007C6C48" w14:paraId="778DF8B8" w14:textId="77777777" w:rsidTr="00B45276">
        <w:trPr>
          <w:trHeight w:val="1099"/>
        </w:trPr>
        <w:tc>
          <w:tcPr>
            <w:tcW w:w="1136" w:type="dxa"/>
            <w:tcBorders>
              <w:top w:val="single" w:sz="8" w:space="0" w:color="auto"/>
            </w:tcBorders>
          </w:tcPr>
          <w:p w14:paraId="6397695C" w14:textId="77777777" w:rsidR="00711D5B" w:rsidRPr="007C6C48" w:rsidRDefault="00711D5B" w:rsidP="00B061FC">
            <w:pPr>
              <w:pStyle w:val="NoSpacing"/>
              <w:spacing w:after="0"/>
              <w:rPr>
                <w:rFonts w:ascii="Roboto" w:hAnsi="Roboto"/>
                <w:color w:val="FF0000"/>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Borders>
              <w:top w:val="single" w:sz="8" w:space="0" w:color="auto"/>
            </w:tcBorders>
          </w:tcPr>
          <w:p w14:paraId="42B1E4F5"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1200–1500</w:t>
            </w:r>
          </w:p>
        </w:tc>
        <w:tc>
          <w:tcPr>
            <w:tcW w:w="873" w:type="dxa"/>
            <w:tcBorders>
              <w:top w:val="single" w:sz="8" w:space="0" w:color="auto"/>
            </w:tcBorders>
          </w:tcPr>
          <w:p w14:paraId="3DA9727B"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4" w:type="dxa"/>
            <w:tcBorders>
              <w:top w:val="single" w:sz="8" w:space="0" w:color="auto"/>
            </w:tcBorders>
          </w:tcPr>
          <w:p w14:paraId="2899AC9B"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Anhydrous basalt to rhyolite</w:t>
            </w:r>
          </w:p>
        </w:tc>
        <w:tc>
          <w:tcPr>
            <w:tcW w:w="1885" w:type="dxa"/>
            <w:tcBorders>
              <w:top w:val="single" w:sz="8" w:space="0" w:color="auto"/>
            </w:tcBorders>
          </w:tcPr>
          <w:p w14:paraId="69D8C525" w14:textId="79678E46" w:rsidR="00711D5B" w:rsidRPr="007C6C48" w:rsidRDefault="007630AD" w:rsidP="00B061FC">
            <w:pPr>
              <w:pStyle w:val="NoSpacing"/>
              <w:spacing w:after="0"/>
              <w:rPr>
                <w:rFonts w:ascii="Roboto" w:hAnsi="Roboto"/>
                <w:color w:val="000000" w:themeColor="text1"/>
              </w:rPr>
            </w:pPr>
            <w:r w:rsidRPr="007C6C48">
              <w:rPr>
                <w:rFonts w:ascii="Roboto" w:hAnsi="Roboto"/>
                <w:color w:val="000000" w:themeColor="text1"/>
              </w:rPr>
              <w:t>Supplementary spreadsheet</w:t>
            </w:r>
          </w:p>
        </w:tc>
        <w:tc>
          <w:tcPr>
            <w:tcW w:w="2535" w:type="dxa"/>
            <w:tcBorders>
              <w:top w:val="single" w:sz="8" w:space="0" w:color="auto"/>
            </w:tcBorders>
          </w:tcPr>
          <w:p w14:paraId="2A7F7A92" w14:textId="772537C0"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Eq. (12a) from</w:t>
            </w:r>
            <w:r w:rsidRPr="007C6C48">
              <w:rPr>
                <w:rFonts w:ascii="Roboto" w:hAnsi="Roboto"/>
                <w:color w:val="FF0000"/>
              </w:rPr>
              <w:t xml:space="preserve"> </w:t>
            </w:r>
            <w:r w:rsidRPr="007C6C48">
              <w:rPr>
                <w:rFonts w:ascii="Roboto" w:hAnsi="Roboto"/>
              </w:rPr>
              <w:fldChar w:fldCharType="begin" w:fldLock="1"/>
            </w:r>
            <w:r w:rsidRPr="007C6C48">
              <w:rPr>
                <w:rFonts w:ascii="Roboto" w:hAnsi="Roboto"/>
              </w:rPr>
              <w:instrText>ADDIN CSL_CITATION {"citationItems":[{"id":"ITEM-1","itemData":{"DOI":"10.1016/J.GCA.2022.06.020","ISSN":"0016-7037","author":[{"dropping-particle":"","family":"O'Neill","given":"Hugh St. C.","non-dropping-particle":"","parse-names":false,"suffix":""},{"dropping-particle":"","family":"Mavrogenes","given":"John A.","non-dropping-particle":"","parse-names":false,"suffix":""}],"container-title":"Geochimica et Cosmochimica Acta","id":"ITEM-1","issued":{"date-parts":[["2022","6","27"]]},"publisher":"Pergamon","title":"The sulfate capacities of silicate melts","type":"article-journal"},"uris":["http://www.mendeley.com/documents/?uuid=28383afe-41b6-312f-a795-212a394fed74"]}],"mendeley":{"formattedCitation":"(O’Neill and Mavrogenes, 2022)","manualFormatting":"O’Neill and Mavrogenes (2022)","plainTextFormattedCitation":"(O’Neill and Mavrogenes, 2022)","previouslyFormattedCitation":"(O’Neill and Mavrogenes,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O’Neill and Mavrogenes (2022)</w:t>
            </w:r>
            <w:r w:rsidRPr="007C6C48">
              <w:rPr>
                <w:rFonts w:ascii="Roboto" w:hAnsi="Roboto"/>
              </w:rPr>
              <w:fldChar w:fldCharType="end"/>
            </w:r>
            <w:r w:rsidRPr="007C6C48">
              <w:rPr>
                <w:rFonts w:ascii="Roboto" w:hAnsi="Roboto"/>
              </w:rPr>
              <w:t xml:space="preserve"> </w:t>
            </w:r>
            <w:r w:rsidRPr="007C6C48">
              <w:rPr>
                <w:rFonts w:ascii="Roboto" w:hAnsi="Roboto"/>
                <w:color w:val="000000" w:themeColor="text1"/>
              </w:rPr>
              <w:t>(with or without dilution from H</w:t>
            </w:r>
            <w:r w:rsidRPr="007C6C48">
              <w:rPr>
                <w:rFonts w:ascii="Roboto" w:hAnsi="Roboto"/>
                <w:color w:val="000000" w:themeColor="text1"/>
                <w:vertAlign w:val="subscript"/>
              </w:rPr>
              <w:t>2</w:t>
            </w:r>
            <w:r w:rsidRPr="007C6C48">
              <w:rPr>
                <w:rFonts w:ascii="Roboto" w:hAnsi="Roboto"/>
                <w:color w:val="000000" w:themeColor="text1"/>
              </w:rPr>
              <w:t>O)</w:t>
            </w:r>
          </w:p>
        </w:tc>
      </w:tr>
      <w:tr w:rsidR="00711D5B" w:rsidRPr="007C6C48" w14:paraId="71E1082F" w14:textId="77777777" w:rsidTr="00B45276">
        <w:tc>
          <w:tcPr>
            <w:tcW w:w="1136" w:type="dxa"/>
          </w:tcPr>
          <w:p w14:paraId="1C8BA834" w14:textId="77777777" w:rsidR="00711D5B" w:rsidRPr="007C6C48" w:rsidRDefault="00711D5B"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Pr>
          <w:p w14:paraId="34C08206"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 xml:space="preserve">1200–1500 </w:t>
            </w:r>
          </w:p>
        </w:tc>
        <w:tc>
          <w:tcPr>
            <w:tcW w:w="873" w:type="dxa"/>
          </w:tcPr>
          <w:p w14:paraId="5848DD52"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4" w:type="dxa"/>
          </w:tcPr>
          <w:p w14:paraId="7E5F7504"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Anhydrous basalt to rhyolite</w:t>
            </w:r>
          </w:p>
        </w:tc>
        <w:tc>
          <w:tcPr>
            <w:tcW w:w="1885" w:type="dxa"/>
          </w:tcPr>
          <w:p w14:paraId="50EE3A33" w14:textId="7F3A3D5E" w:rsidR="00711D5B"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2535" w:type="dxa"/>
          </w:tcPr>
          <w:p w14:paraId="2F191FAD" w14:textId="3C101B25"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 xml:space="preserve">Eq. (5)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{"citationItems":[{"id":"ITEM-1","itemData":{"DOI":"10.1016/J.GCA.2022.11.025","ISSN":"0016-7037","abstract":"The authors regret that due to a small error in our input data to the SPSS statistical program (in Boulliung and Wood, 2022), Eq. (5) does not constitute a true best-fit to our experimental data. Although the errors from use of our Eq. (5) are small, generally of the order of 0.2 in log CS6+ we opt to correct the equation here. For completeness, we have separated FeO and Fe2O3 using the equations of Kress and Carmichael (1991). We also note from O'Neill and Mavrogenes (2002) that the form of Eq. (5) can be derived from reciprocal solution theory by assuming the mixing units are single oxygen components Si0.5O, FeO, Fe0.67O, Na2O, etc. We therefore fitted log CS6+ (from Table 3) to a combination of terms in oxide mole fraction on a single oxygen basis (e.g., Si0.5O, FeO, Al0.67O) and reciprocal temperature. The method involved stepwise linear regression using the SPSS statistical package with terms which did not pass the F-test at α = 0.05 excluded. Because log CS6+ is directly related to log K (equilibrium constant) the temperature dependence is, as with log K, reciprocal temperature. In order to ensure that the compositional terms approach zero at infinite temperature the oxide mole fractions were also divided by temperature. This approach resulted in the following fit Eq. (5): [Formula presented] The standard error of the fit is 0.140 and R2 is 0.988. All 7 parameters have moderate t-test values &gt;2.5 and p values below 0.02 indicating significance at greater than 95% level. A spreadsheet based on Eq. (5) is available from the authors on request. For comparison with our original paper we also re-fit the data using the original approach based on single cation oxide mole fractions (e.g., SiO2 FeO, FeO1.5), but with FeO and FeO1.5 treated as separate components as above. Using stepwise linear regression we obtained: [Formula presented] The standard error of this fit is 0.140 and R2 is 0.987 and is hence virtually identical to that based on single oxygen components. Note that in order to use this equation it is necessary to calculate FeO and FeO1.5 concentrations using Kress and Carmichael (1991). The authors would like to apologise for any inconvenience caused.","author":[{"dropping-particle":"","family":"Boulliung","given":"Julien","non-dropping-particle":"","parse-names":false,"suffix":""},{"dropping-particle":"","family":"Wood","given":"Bernard J.","non-dropping-particle":"","parse-names":false,"suffix":""}],"container-title":"Geochimica et Cosmochimica Acta","id":"ITEM-1","issued":{"date-parts":[["2023","2","15"]]},"page":"420","publisher":"Pergamon","title":"Corrigendum to “SO2 solubility and degassing behavior in silicate melts” [Geochim. Cosmochim. Acta 336 (2022) 150–164]","type":"article-journal","volume":"343"},"uris":["http://www.mendeley.com/documents/?uuid=f4cf1eb2-5b43-3647-971e-4f6151a11570"]}],"mendeley":{"formattedCitation":"(Boulliung and Wood, 2023b)","manualFormatting":"Boulliung and Wood (2023b)","plainTextFormattedCitation":"(Boulliung and Wood, 2023b)","previouslyFormattedCitation":"(Boulliung and Wood, 2023b)"},"properties":{"noteIndex":0},"schema":"https://github.com/citation-style-language/schema/raw/master/csl-citation.json"}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(2023b)</w:t>
            </w:r>
            <w:r w:rsidRPr="007C6C48">
              <w:rPr>
                <w:rFonts w:ascii="Roboto" w:hAnsi="Roboto"/>
                <w:color w:val="000000" w:themeColor="text1"/>
              </w:rPr>
              <w:fldChar w:fldCharType="end"/>
            </w:r>
          </w:p>
        </w:tc>
      </w:tr>
      <w:tr w:rsidR="00711D5B" w:rsidRPr="007C6C48" w14:paraId="374B79DD" w14:textId="77777777" w:rsidTr="00B45276">
        <w:tc>
          <w:tcPr>
            <w:tcW w:w="1136" w:type="dxa"/>
          </w:tcPr>
          <w:p w14:paraId="6103F932" w14:textId="77777777" w:rsidR="00711D5B" w:rsidRPr="007C6C48" w:rsidRDefault="00711D5B" w:rsidP="00B061FC">
            <w:pPr>
              <w:pStyle w:val="NoSpacing"/>
              <w:spacing w:after="0"/>
              <w:rPr>
                <w:rFonts w:ascii="Roboto" w:hAnsi="Roboto"/>
                <w:color w:val="000000" w:themeColor="text1"/>
              </w:rPr>
            </w:pPr>
            <w:r w:rsidRPr="007C6C48">
              <w:rPr>
                <w:rFonts w:ascii="Roboto" w:hAnsi="Roboto"/>
                <w:i/>
                <w:iCs/>
                <w:color w:val="000000" w:themeColor="text1"/>
              </w:rPr>
              <w:t>P, 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Pr>
          <w:p w14:paraId="707BD265" w14:textId="77777777" w:rsidR="00711D5B" w:rsidRPr="007C6C48" w:rsidRDefault="00711D5B" w:rsidP="00B061FC">
            <w:pPr>
              <w:pStyle w:val="NoSpacing"/>
              <w:spacing w:after="0"/>
              <w:jc w:val="right"/>
              <w:rPr>
                <w:rFonts w:ascii="Roboto" w:hAnsi="Roboto"/>
                <w:color w:val="FF0000"/>
              </w:rPr>
            </w:pPr>
            <w:r w:rsidRPr="007C6C48">
              <w:rPr>
                <w:rFonts w:ascii="Roboto" w:hAnsi="Roboto"/>
                <w:color w:val="000000" w:themeColor="text1"/>
              </w:rPr>
              <w:t xml:space="preserve">1200–1500 </w:t>
            </w:r>
          </w:p>
        </w:tc>
        <w:tc>
          <w:tcPr>
            <w:tcW w:w="873" w:type="dxa"/>
          </w:tcPr>
          <w:p w14:paraId="594367B9" w14:textId="77777777" w:rsidR="00711D5B" w:rsidRPr="007C6C48" w:rsidRDefault="00711D5B" w:rsidP="00B061FC">
            <w:pPr>
              <w:pStyle w:val="NoSpacing"/>
              <w:spacing w:after="0"/>
              <w:jc w:val="right"/>
              <w:rPr>
                <w:rFonts w:ascii="Roboto" w:hAnsi="Roboto"/>
                <w:color w:val="FF0000"/>
              </w:rPr>
            </w:pPr>
            <w:r w:rsidRPr="007C6C48">
              <w:rPr>
                <w:rFonts w:ascii="Roboto" w:hAnsi="Roboto"/>
                <w:color w:val="000000" w:themeColor="text1"/>
              </w:rPr>
              <w:t>1</w:t>
            </w:r>
          </w:p>
        </w:tc>
        <w:tc>
          <w:tcPr>
            <w:tcW w:w="1694" w:type="dxa"/>
          </w:tcPr>
          <w:p w14:paraId="09EF07F1" w14:textId="77777777"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Anhydrous basalt to rhyolite</w:t>
            </w:r>
          </w:p>
        </w:tc>
        <w:tc>
          <w:tcPr>
            <w:tcW w:w="1885" w:type="dxa"/>
          </w:tcPr>
          <w:p w14:paraId="2EE76EC5" w14:textId="20D2C32D" w:rsidR="00711D5B"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2535" w:type="dxa"/>
          </w:tcPr>
          <w:p w14:paraId="321052F6" w14:textId="5E3B959C" w:rsidR="00711D5B" w:rsidRPr="007C6C48" w:rsidRDefault="00711D5B" w:rsidP="00B061FC">
            <w:pPr>
              <w:pStyle w:val="NoSpacing"/>
              <w:spacing w:after="0"/>
              <w:rPr>
                <w:rFonts w:ascii="Roboto" w:hAnsi="Roboto"/>
                <w:color w:val="FF0000"/>
              </w:rPr>
            </w:pPr>
            <w:r w:rsidRPr="007C6C48">
              <w:rPr>
                <w:rFonts w:ascii="Roboto" w:hAnsi="Roboto"/>
                <w:color w:val="000000" w:themeColor="text1"/>
              </w:rPr>
              <w:t>Eq. (5) from</w:t>
            </w:r>
            <w:r w:rsidRPr="007C6C48">
              <w:rPr>
                <w:rFonts w:ascii="Roboto" w:hAnsi="Roboto"/>
                <w:color w:val="FF000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{"citationItems":[{"id":"ITEM-1","itemData":{"DOI":"10.1016/J.GCA.2022.11.025","ISSN":"0016-7037","abstract":"The authors regret that due to a small error in our input data to the SPSS statistical program (in Boulliung and Wood, 2022), Eq. (5) does not constitute a true best-fit to our experimental data. Although the errors from use of our Eq. (5) are small, generally of the order of 0.2 in log CS6+ we opt to correct the equation here. For completeness, we have separated FeO and Fe2O3 using the equations of Kress and Carmichael (1991). We also note from O'Neill and Mavrogenes (2002) that the form of Eq. (5) can be derived from reciprocal solution theory by assuming the mixing units are single oxygen components Si0.5O, FeO, Fe0.67O, Na2O, etc. We therefore fitted log CS6+ (from Table 3) to a combination of terms in oxide mole fraction on a single oxygen basis (e.g., Si0.5O, FeO, Al0.67O) and reciprocal temperature. The method involved stepwise linear regression using the SPSS statistical package with terms which did not pass the F-test at α = 0.05 excluded. Because log CS6+ is directly related to log K (equilibrium constant) the temperature dependence is, as with log K, reciprocal temperature. In order to ensure that the compositional terms approach zero at infinite temperature the oxide mole fractions were also divided by temperature. This approach resulted in the following fit Eq. (5): [Formula presented] The standard error of the fit is 0.140 and R2 is 0.988. All 7 parameters have moderate t-test values &gt;2.5 and p values below 0.02 indicating significance at greater than 95% level. A spreadsheet based on Eq. (5) is available from the authors on request. For comparison with our original paper we also re-fit the data using the original approach based on single cation oxide mole fractions (e.g., SiO2 FeO, FeO1.5), but with FeO and FeO1.5 treated as separate components as above. Using stepwise linear regression we obtained: [Formula presented] The standard error of this fit is 0.140 and R2 is 0.987 and is hence virtually identical to that based on single oxygen components. Note that in order to use this equation it is necessary to calculate FeO and FeO1.5 concentrations using Kress and Carmichael (1991). The authors would like to apologise for any inconvenience caused.","author":[{"dropping-particle":"","family":"Boulliung","given":"Julien","non-dropping-particle":"","parse-names":false,"suffix":""},{"dropping-particle":"","family":"Wood","given":"Bernard J.","non-dropping-particle":"","parse-names":false,"suffix":""}],"container-title":"Geochimica et Cosmochimica Acta","id":"ITEM-1","issued":{"date-parts":[["2023","2","15"]]},"page":"420","publisher":"Pergamon","title":"Corrigendum to “SO2 solubility and degassing behavior in silicate melts” [Geochim. Cosmochim. Acta 336 (2022) 150–164]","type":"article-journal","volume":"343"},"uris":["http://www.mendeley.com/documents/?uuid=f4cf1eb2-5b43-3647-971e-4f6151a11570"]}],"mendeley":{"formattedCitation":"(Boulliung and Wood, 2023b)","manualFormatting":"Boulliung and Wood (2023b)","plainTextFormattedCitation":"(Boulliung and Wood, 2023b)","previouslyFormattedCitation":"(Boulliung and Wood, 2023b)"},"properties":{"noteIndex":0},"schema":"https://github.com/citation-style-language/schema/raw/master/csl-citation.json"}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(2023b)</w:t>
            </w:r>
            <w:r w:rsidRPr="007C6C48">
              <w:rPr>
                <w:rFonts w:ascii="Roboto" w:hAnsi="Roboto"/>
                <w:color w:val="000000" w:themeColor="text1"/>
              </w:rPr>
              <w:fldChar w:fldCharType="end"/>
            </w:r>
            <w:r w:rsidRPr="007C6C48">
              <w:rPr>
                <w:rFonts w:ascii="Roboto" w:hAnsi="Roboto"/>
                <w:color w:val="000000" w:themeColor="text1"/>
              </w:rPr>
              <w:t xml:space="preserve"> and eq. (8)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{"citationItems":[{"id":"ITEM-1","itemData":{"DOI":"10.1016/j.gca.2022.08.032","author":[{"dropping-particle":"","family":"Boulliung","given":"Julien","non-dropping-particle":"","parse-names":false,"suffix":""},{"dropping-particle":"","family":"Wood","given":"Bernard J.","non-dropping-particle":"","parse-names":false,"suffix":""}],"container-title":"Geochimica et Cosmochimica Acta Volume , 1 November 2022, Pages 150-164","id":"ITEM-1","issued":{"date-parts":[["2022"]]},"page":"150-164","title":"SO2 solubility and degassing behavior in silicate melts","type":"article-journal","volume":"336"},"uris":["http://www.mendeley.com/documents/?uuid=7eb4d60b-d94d-440e-bd68-afce2f65efa3"]}],"mendeley":{"formattedCitation":"(Boulliung and Wood, 2022)","manualFormatting":"Boulliung and Wood (2022)","plainTextFormattedCitation":"(Boulliung and Wood, 2022)","previouslyFormattedCitation":"(Boulliung and Wood, 2022)"},"properties":{"noteIndex":0},"schema":"https://github.com/citation-style-language/schema/raw/master/csl-citation.json"}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(2022)</w:t>
            </w:r>
            <w:r w:rsidRPr="007C6C48">
              <w:rPr>
                <w:rFonts w:ascii="Roboto" w:hAnsi="Roboto"/>
                <w:color w:val="000000" w:themeColor="text1"/>
              </w:rPr>
              <w:fldChar w:fldCharType="end"/>
            </w:r>
          </w:p>
        </w:tc>
      </w:tr>
      <w:tr w:rsidR="00711D5B" w:rsidRPr="007C6C48" w14:paraId="29C52749" w14:textId="77777777" w:rsidTr="00B45276">
        <w:tc>
          <w:tcPr>
            <w:tcW w:w="1136" w:type="dxa"/>
          </w:tcPr>
          <w:p w14:paraId="658EEC99" w14:textId="77777777" w:rsidR="00711D5B" w:rsidRPr="007C6C48" w:rsidRDefault="00711D5B"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Pr>
          <w:p w14:paraId="37179734"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 xml:space="preserve">1200–1500 </w:t>
            </w:r>
          </w:p>
        </w:tc>
        <w:tc>
          <w:tcPr>
            <w:tcW w:w="873" w:type="dxa"/>
          </w:tcPr>
          <w:p w14:paraId="1F1075C4"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4" w:type="dxa"/>
          </w:tcPr>
          <w:p w14:paraId="5582ABCE"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Anhydrous basalt to rhyolite</w:t>
            </w:r>
          </w:p>
        </w:tc>
        <w:tc>
          <w:tcPr>
            <w:tcW w:w="1885" w:type="dxa"/>
          </w:tcPr>
          <w:p w14:paraId="02786BA2" w14:textId="0024C098" w:rsidR="00711D5B"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t>Supplementary spreadsheet</w:t>
            </w:r>
          </w:p>
        </w:tc>
        <w:tc>
          <w:tcPr>
            <w:tcW w:w="2535" w:type="dxa"/>
          </w:tcPr>
          <w:p w14:paraId="1105E23E" w14:textId="7F914105"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Eq. (9) from</w:t>
            </w:r>
            <w:r w:rsidRPr="007C6C48">
              <w:rPr>
                <w:rFonts w:ascii="Roboto" w:hAnsi="Roboto"/>
                <w:color w:val="FF000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{"citationItems":[{"id":"ITEM-1","itemData":{"DOI":"10.1007/S00410-023-02033-9/FIGURES/9","ISSN":"14320967","abstract":"We have determined the solubility of sulfur (S) as sulfide (S2–) for 13 different natural melt compositions at temperatures of 1473–1773 K under controlled conditions of oxygen and sulfur fugacities (fO2 and fS2, respectively). The S and major element contents of the quenched glasses were determined by electron microprobe. The sulfide capacity parameter (CS2–) was used to express S2– solubility as a function of the oxygen and sulfur fugacities according to the equation: logCS2-=logSmelt(wt%)+0.5log(fO2fS2) . Sulfide capacities of silicate melts were found to increase with temperature and the FeO content of the melt. We combined our sulfide data at 1473–1773 K with (O’Neill and Mavrogenes, J Petrol 43:1049–1087, 2002) results at 1673 K, and obtained by stepwise linear regression the following equation for sulfide capacity logCS2-=0.225+(25237XFeO+5214XCaO+12705XMnO+19829XK2O-1109XSi0.5O-8879)/T . X MO is the mole fraction of the oxide of M on a single-oxygen basis, and T is in Kelvin. The sulfide capacity equation was combined with sulfate capacity (CS6+) data for similar compositions and at the same temperatures (Boulliung and Wood, Geochim Cosmochim Acta 336:150–164, 2022), to estimate the S redox state (S6+/S2– ratio) as a function of melt composition, temperature and oxygen fugacity. Results obtained are in good agreement with earlier measurements of S6+/S2– for basaltic and andesitic compositions. We observe a significant increase, however, relative to FMQ of the oxygen fugacity of the S2– to S6+ transition as temperature is lowered from 1773 to 1473 K. We used our results to simulate sulfur-degassing paths for basaltic compositions under various redox conditions (FMQ –2 log fO2 units to FMQ + 2). The calculations indicate that, given an initial concentration of 0.12 wt% S in an ascending melt at 250 MPa, most of the S (&gt; 80%) will be degassed before the magma reaches 100 MPa pressure.","author":[{"dropping-particle":"","family":"Boulliung","given":"Julien","non-dropping-particle":"","parse-names":false,"suffix":""},{"dropping-particle":"","family":"Wood","given":"Bernard J.","non-dropping-particle":"","parse-names":false,"suffix":""}],"container-title":"Contributions to Mineralogy and Petrology","id":"ITEM-1","issue":"8","issued":{"date-parts":[["2023","8","1"]]},"page":"1-15","publisher":"Springer Science and Business Media Deutschland GmbH","title":"Sulfur oxidation state and solubility in silicate melts","type":"article-journal","volume":"178"},"uris":["http://www.mendeley.com/documents/?uuid=78330925-a8ba-35e2-a6b2-a02653198b68"]}],"mendeley":{"formattedCitation":"(Boulliung and Wood, 2023a)","manualFormatting":"Boulliung and Wood (2023a)","plainTextFormattedCitation":"(Boulliung and Wood, 2023a)","previouslyFormattedCitation":"(Boulliung and Wood, 2023a)"},"properties":{"noteIndex":0},"schema":"https://github.com/citation-style-language/schema/raw/master/csl-citation.json"}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(2023a)</w:t>
            </w:r>
            <w:r w:rsidRPr="007C6C48">
              <w:rPr>
                <w:rFonts w:ascii="Roboto" w:hAnsi="Roboto"/>
                <w:color w:val="000000" w:themeColor="text1"/>
              </w:rPr>
              <w:fldChar w:fldCharType="end"/>
            </w:r>
            <w:r w:rsidRPr="007C6C48">
              <w:rPr>
                <w:rFonts w:ascii="Roboto" w:hAnsi="Roboto"/>
                <w:color w:val="000000" w:themeColor="text1"/>
              </w:rPr>
              <w:t xml:space="preserve">, using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{"citationItems":[{"id":"ITEM-1","itemData":{"DOI":"10.1016/j.gca.2022.08.032","author":[{"dropping-particle":"","family":"Boulliung","given":"Julien","non-dropping-particle":"","parse-names":false,"suffix":""},{"dropping-particle":"","family":"Wood","given":"Bernard J.","non-dropping-particle":"","parse-names":false,"suffix":""}],"container-title":"Geochimica et Cosmochimica Acta Volume , 1 November 2022, Pages 150-164","id":"ITEM-1","issued":{"date-parts":[["2022"]]},"page":"150-164","title":"SO2 solubility and degassing behavior in silicate melts","type":"article-journal","volume":"336"},"uris":["http://www.mendeley.com/documents/?uuid=7eb4d60b-d94d-440e-bd68-afce2f65efa3"]}],"mendeley":{"formattedCitation":"(Boulliung and Wood, 2022)","manualFormatting":"Boulliung and Wood (2022)","plainTextFormattedCitation":"(Boulliung and Wood, 2022)","previouslyFormattedCitation":"(Boulliung and Wood, 2022)"},"properties":{"noteIndex":0},"schema":"https://github.com/citation-style-language/schema/raw/master/csl-citation.json"}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(2022)</w:t>
            </w:r>
            <w:r w:rsidRPr="007C6C48">
              <w:rPr>
                <w:rFonts w:ascii="Roboto" w:hAnsi="Roboto"/>
                <w:color w:val="000000" w:themeColor="text1"/>
              </w:rPr>
              <w:fldChar w:fldCharType="end"/>
            </w:r>
          </w:p>
        </w:tc>
      </w:tr>
      <w:tr w:rsidR="00711D5B" w:rsidRPr="007C6C48" w14:paraId="701B7FC1" w14:textId="77777777" w:rsidTr="00B45276">
        <w:tc>
          <w:tcPr>
            <w:tcW w:w="1136" w:type="dxa"/>
            <w:tcBorders>
              <w:bottom w:val="single" w:sz="8" w:space="0" w:color="auto"/>
            </w:tcBorders>
          </w:tcPr>
          <w:p w14:paraId="0B80EF4B" w14:textId="77777777" w:rsidR="00711D5B" w:rsidRPr="007C6C48" w:rsidRDefault="00711D5B" w:rsidP="00B061FC">
            <w:pPr>
              <w:pStyle w:val="NoSpacing"/>
              <w:spacing w:after="0"/>
              <w:rPr>
                <w:rFonts w:ascii="Roboto" w:hAnsi="Roboto"/>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Borders>
              <w:bottom w:val="single" w:sz="8" w:space="0" w:color="auto"/>
            </w:tcBorders>
          </w:tcPr>
          <w:p w14:paraId="6C68C691"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 xml:space="preserve">1200–1500 </w:t>
            </w:r>
          </w:p>
        </w:tc>
        <w:tc>
          <w:tcPr>
            <w:tcW w:w="873" w:type="dxa"/>
            <w:tcBorders>
              <w:bottom w:val="single" w:sz="8" w:space="0" w:color="auto"/>
            </w:tcBorders>
          </w:tcPr>
          <w:p w14:paraId="0A969CF8" w14:textId="77777777" w:rsidR="00711D5B" w:rsidRPr="007C6C48" w:rsidRDefault="00711D5B" w:rsidP="00B061FC">
            <w:pPr>
              <w:pStyle w:val="NoSpacing"/>
              <w:spacing w:after="0"/>
              <w:jc w:val="right"/>
              <w:rPr>
                <w:rFonts w:ascii="Roboto" w:hAnsi="Roboto"/>
                <w:color w:val="000000" w:themeColor="text1"/>
              </w:rPr>
            </w:pPr>
            <w:r w:rsidRPr="007C6C48">
              <w:rPr>
                <w:rFonts w:ascii="Roboto" w:hAnsi="Roboto"/>
                <w:color w:val="000000" w:themeColor="text1"/>
              </w:rPr>
              <w:t>1</w:t>
            </w:r>
          </w:p>
        </w:tc>
        <w:tc>
          <w:tcPr>
            <w:tcW w:w="1694" w:type="dxa"/>
            <w:tcBorders>
              <w:bottom w:val="single" w:sz="8" w:space="0" w:color="auto"/>
            </w:tcBorders>
          </w:tcPr>
          <w:p w14:paraId="4F1085F9" w14:textId="77777777"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Anhydrous basalt to rhyolite</w:t>
            </w:r>
          </w:p>
        </w:tc>
        <w:tc>
          <w:tcPr>
            <w:tcW w:w="1885" w:type="dxa"/>
            <w:tcBorders>
              <w:bottom w:val="single" w:sz="8" w:space="0" w:color="auto"/>
            </w:tcBorders>
          </w:tcPr>
          <w:p w14:paraId="2265AF3A" w14:textId="5091399E" w:rsidR="00711D5B" w:rsidRPr="007C6C48" w:rsidRDefault="00073889" w:rsidP="00B061FC">
            <w:pPr>
              <w:pStyle w:val="NoSpacing"/>
              <w:spacing w:after="0"/>
              <w:rPr>
                <w:rFonts w:ascii="Roboto" w:hAnsi="Roboto"/>
                <w:color w:val="000000" w:themeColor="text1"/>
              </w:rPr>
            </w:pPr>
            <w:r w:rsidRPr="007C6C48">
              <w:rPr>
                <w:rFonts w:ascii="Roboto" w:hAnsi="Roboto"/>
                <w:color w:val="000000" w:themeColor="text1"/>
              </w:rPr>
              <w:t>Supplementary spreadsheet</w:t>
            </w:r>
          </w:p>
        </w:tc>
        <w:tc>
          <w:tcPr>
            <w:tcW w:w="2535" w:type="dxa"/>
            <w:tcBorders>
              <w:bottom w:val="single" w:sz="8" w:space="0" w:color="auto"/>
            </w:tcBorders>
          </w:tcPr>
          <w:p w14:paraId="47F07DEB" w14:textId="60C5E16B" w:rsidR="00711D5B" w:rsidRPr="007C6C48" w:rsidRDefault="00711D5B" w:rsidP="00B061FC">
            <w:pPr>
              <w:pStyle w:val="NoSpacing"/>
              <w:spacing w:after="0"/>
              <w:rPr>
                <w:rFonts w:ascii="Roboto" w:hAnsi="Roboto"/>
                <w:color w:val="000000" w:themeColor="text1"/>
              </w:rPr>
            </w:pPr>
            <w:r w:rsidRPr="007C6C48">
              <w:rPr>
                <w:rFonts w:ascii="Roboto" w:hAnsi="Roboto"/>
                <w:color w:val="000000" w:themeColor="text1"/>
              </w:rPr>
              <w:t>Eq. (11) from</w:t>
            </w:r>
            <w:r w:rsidRPr="007C6C48">
              <w:rPr>
                <w:rFonts w:ascii="Roboto" w:hAnsi="Roboto"/>
                <w:color w:val="FF0000"/>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{"citationItems":[{"id":"ITEM-1","itemData":{"DOI":"10.1007/S00410-023-02033-9/FIGURES/9","ISSN":"14320967","abstract":"We have determined the solubility of sulfur (S) as sulfide (S2–) for 13 different natural melt compositions at temperatures of 1473–1773 K under controlled conditions of oxygen and sulfur fugacities (fO2 and fS2, respectively). The S and major element contents of the quenched glasses were determined by electron microprobe. The sulfide capacity parameter (CS2–) was used to express S2– solubility as a function of the oxygen and sulfur fugacities according to the equation: logCS2-=logSmelt(wt%)+0.5log(fO2fS2) . Sulfide capacities of silicate melts were found to increase with temperature and the FeO content of the melt. We combined our sulfide data at 1473–1773 K with (O’Neill and Mavrogenes, J Petrol 43:1049–1087, 2002) results at 1673 K, and obtained by stepwise linear regression the following equation for sulfide capacity logCS2-=0.225+(25237XFeO+5214XCaO+12705XMnO+19829XK2O-1109XSi0.5O-8879)/T . X MO is the mole fraction of the oxide of M on a single-oxygen basis, and T is in Kelvin. The sulfide capacity equation was combined with sulfate capacity (CS6+) data for similar compositions and at the same temperatures (Boulliung and Wood, Geochim Cosmochim Acta 336:150–164, 2022), to estimate the S redox state (S6+/S2– ratio) as a function of melt composition, temperature and oxygen fugacity. Results obtained are in good agreement with earlier measurements of S6+/S2– for basaltic and andesitic compositions. We observe a significant increase, however, relative to FMQ of the oxygen fugacity of the S2– to S6+ transition as temperature is lowered from 1773 to 1473 K. We used our results to simulate sulfur-degassing paths for basaltic compositions under various redox conditions (FMQ –2 log fO2 units to FMQ + 2). The calculations indicate that, given an initial concentration of 0.12 wt% S in an ascending melt at 250 MPa, most of the S (&gt; 80%) will be degassed before the magma reaches 100 MPa pressure.","author":[{"dropping-particle":"","family":"Boulliung","given":"Julien","non-dropping-particle":"","parse-names":false,"suffix":""},{"dropping-particle":"","family":"Wood","given":"Bernard J.","non-dropping-particle":"","parse-names":false,"suffix":""}],"container-title":"Contributions to Mineralogy and Petrology","id":"ITEM-1","issue":"8","issued":{"date-parts":[["2023","8","1"]]},"page":"1-15","publisher":"Springer Science and Business Media Deutschland GmbH","title":"Sulfur oxidation state and solubility in silicate melts","type":"article-journal","volume":"178"},"uris":["http://www.mendeley.com/documents/?uuid=78330925-a8ba-35e2-a6b2-a02653198b68"]}],"mendeley":{"formattedCitation":"(Boulliung and Wood, 2023a)","manualFormatting":"Boulliung and Wood (2023a)","plainTextFormattedCitation":"(Boulliung and Wood, 2023a)","previouslyFormattedCitation":"(Boulliung and Wood, 2023a)"},"properties":{"noteIndex":0},"schema":"https://github.com/citation-style-language/schema/raw/master/csl-citation.json"}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(2023a)</w:t>
            </w:r>
            <w:r w:rsidRPr="007C6C48">
              <w:rPr>
                <w:rFonts w:ascii="Roboto" w:hAnsi="Roboto"/>
                <w:color w:val="000000" w:themeColor="text1"/>
              </w:rPr>
              <w:fldChar w:fldCharType="end"/>
            </w:r>
            <w:r w:rsidRPr="007C6C48">
              <w:rPr>
                <w:rFonts w:ascii="Roboto" w:hAnsi="Roboto"/>
                <w:color w:val="000000" w:themeColor="text1"/>
              </w:rPr>
              <w:t xml:space="preserve">, using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{"citationItems":[{"id":"ITEM-1","itemData":{"DOI":"10.1016/j.gca.2022.08.032","author":[{"dropping-particle":"","family":"Boulliung","given":"Julien","non-dropping-particle":"","parse-names":false,"suffix":""},{"dropping-particle":"","family":"Wood","given":"Bernard J.","non-dropping-particle":"","parse-names":false,"suffix":""}],"container-title":"Geochimica et Cosmochimica Acta Volume , 1 November 2022, Pages 150-164","id":"ITEM-1","issued":{"date-parts":[["2022"]]},"page":"150-164","title":"SO2 solubility and degassing behavior in silicate melts","type":"article-journal","volume":"336"},"uris":["http://www.mendeley.com/documents/?uuid=7eb4d60b-d94d-440e-bd68-afce2f65efa3"]}],"mendeley":{"formattedCitation":"(Boulliung and Wood, 2022)","manualFormatting":"Boulliung and Wood (2022)","plainTextFormattedCitation":"(Boulliung and Wood, 2022)","previouslyFormattedCitation":"(Boulliung and Wood, 2022)"},"properties":{"noteIndex":0},"schema":"https://github.com/citation-style-language/schema/raw/master/csl-citation.json"}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Boulliung and Wood (2022)</w:t>
            </w:r>
            <w:r w:rsidRPr="007C6C48">
              <w:rPr>
                <w:rFonts w:ascii="Roboto" w:hAnsi="Roboto"/>
                <w:color w:val="000000" w:themeColor="text1"/>
              </w:rPr>
              <w:fldChar w:fldCharType="end"/>
            </w:r>
          </w:p>
        </w:tc>
      </w:tr>
    </w:tbl>
    <w:p w14:paraId="6A00F1B7" w14:textId="77777777" w:rsidR="0016716F" w:rsidRPr="007C6C48" w:rsidRDefault="0016716F" w:rsidP="0016716F">
      <w:pPr>
        <w:rPr>
          <w:rFonts w:ascii="Roboto" w:hAnsi="Roboto"/>
          <w:highlight w:val="yellow"/>
        </w:rPr>
      </w:pPr>
    </w:p>
    <w:p w14:paraId="4145FB2E" w14:textId="57085FF8" w:rsidR="0016716F" w:rsidRPr="007C6C48" w:rsidRDefault="0016716F" w:rsidP="0016716F">
      <w:pPr>
        <w:pStyle w:val="NoSpacing"/>
        <w:spacing w:after="0"/>
        <w:rPr>
          <w:rFonts w:ascii="Roboto" w:hAnsi="Roboto"/>
          <w:color w:val="000000" w:themeColor="text1"/>
        </w:rPr>
      </w:pPr>
      <w:bookmarkStart w:id="11" w:name="_Ref163383260"/>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8</w:t>
      </w:r>
      <w:r w:rsidR="006A647B" w:rsidRPr="007C6C48">
        <w:rPr>
          <w:rFonts w:ascii="Roboto" w:hAnsi="Roboto"/>
          <w:noProof/>
        </w:rPr>
        <w:fldChar w:fldCharType="end"/>
      </w:r>
      <w:bookmarkEnd w:id="11"/>
      <w:r w:rsidRPr="007C6C48">
        <w:rPr>
          <w:rFonts w:ascii="Roboto" w:hAnsi="Roboto"/>
          <w:noProof/>
        </w:rPr>
        <w:t>.</w:t>
      </w:r>
      <w:r w:rsidRPr="007C6C48">
        <w:rPr>
          <w:rFonts w:ascii="Roboto" w:hAnsi="Roboto"/>
        </w:rPr>
        <w:t xml:space="preserve"> Solubility </w:t>
      </w:r>
      <w:r w:rsidR="008A3EE0" w:rsidRPr="007C6C48">
        <w:rPr>
          <w:rFonts w:ascii="Roboto" w:hAnsi="Roboto"/>
        </w:rPr>
        <w:t xml:space="preserve">functions </w:t>
      </w:r>
      <w:r w:rsidRPr="007C6C48">
        <w:rPr>
          <w:rFonts w:ascii="Roboto" w:hAnsi="Roboto"/>
        </w:rPr>
        <w:t>for H</w:t>
      </w:r>
      <w:r w:rsidRPr="007C6C48">
        <w:rPr>
          <w:rFonts w:ascii="Roboto" w:hAnsi="Roboto"/>
          <w:vertAlign w:val="subscript"/>
        </w:rPr>
        <w:t>2</w:t>
      </w:r>
      <w:r w:rsidRPr="007C6C48">
        <w:rPr>
          <w:rFonts w:ascii="Roboto" w:hAnsi="Roboto"/>
        </w:rPr>
        <w:t>, CO, CH</w:t>
      </w:r>
      <w:r w:rsidRPr="007C6C48">
        <w:rPr>
          <w:rFonts w:ascii="Roboto" w:hAnsi="Roboto"/>
          <w:vertAlign w:val="subscript"/>
        </w:rPr>
        <w:t>4</w:t>
      </w:r>
      <w:r w:rsidRPr="007C6C48">
        <w:rPr>
          <w:rFonts w:ascii="Roboto" w:hAnsi="Roboto"/>
        </w:rPr>
        <w:t>, H</w:t>
      </w:r>
      <w:r w:rsidRPr="007C6C48">
        <w:rPr>
          <w:rFonts w:ascii="Roboto" w:hAnsi="Roboto"/>
          <w:vertAlign w:val="subscript"/>
        </w:rPr>
        <w:t>2</w:t>
      </w:r>
      <w:r w:rsidRPr="007C6C48">
        <w:rPr>
          <w:rFonts w:ascii="Roboto" w:hAnsi="Roboto"/>
        </w:rPr>
        <w:t>S, and noble gases and range of conditions of experiments used for calibration.</w:t>
      </w:r>
    </w:p>
    <w:tbl>
      <w:tblPr>
        <w:tblStyle w:val="TableGrid"/>
        <w:tblW w:w="0" w:type="auto"/>
        <w:tblLook w:val="04A0" w:firstRow="1" w:lastRow="0" w:firstColumn="1" w:lastColumn="0" w:noHBand="0" w:noVBand="1"/>
      </w:tblPr>
      <w:tblGrid>
        <w:gridCol w:w="1214"/>
        <w:gridCol w:w="913"/>
        <w:gridCol w:w="1048"/>
        <w:gridCol w:w="1690"/>
        <w:gridCol w:w="1786"/>
        <w:gridCol w:w="2365"/>
      </w:tblGrid>
      <w:tr w:rsidR="004B6548" w:rsidRPr="007C6C48" w14:paraId="30109D6D" w14:textId="77777777" w:rsidTr="00B45276">
        <w:tc>
          <w:tcPr>
            <w:tcW w:w="1136" w:type="dxa"/>
            <w:tcBorders>
              <w:top w:val="single" w:sz="8" w:space="0" w:color="auto"/>
              <w:bottom w:val="single" w:sz="8" w:space="0" w:color="auto"/>
            </w:tcBorders>
            <w:vAlign w:val="center"/>
          </w:tcPr>
          <w:p w14:paraId="34C1FDA9" w14:textId="77777777" w:rsidR="004B6548" w:rsidRPr="007C6C48" w:rsidRDefault="004B6548" w:rsidP="00B061FC">
            <w:pPr>
              <w:pStyle w:val="NoSpacing"/>
              <w:spacing w:after="0"/>
              <w:jc w:val="center"/>
              <w:rPr>
                <w:rFonts w:ascii="Roboto" w:hAnsi="Roboto"/>
              </w:rPr>
            </w:pPr>
            <w:r w:rsidRPr="007C6C48">
              <w:rPr>
                <w:rFonts w:ascii="Roboto" w:hAnsi="Roboto"/>
              </w:rPr>
              <w:t>Variables</w:t>
            </w:r>
          </w:p>
        </w:tc>
        <w:tc>
          <w:tcPr>
            <w:tcW w:w="873" w:type="dxa"/>
            <w:tcBorders>
              <w:top w:val="single" w:sz="8" w:space="0" w:color="auto"/>
              <w:bottom w:val="single" w:sz="8" w:space="0" w:color="auto"/>
            </w:tcBorders>
            <w:vAlign w:val="center"/>
          </w:tcPr>
          <w:p w14:paraId="112D1018" w14:textId="77777777" w:rsidR="004B6548" w:rsidRPr="007C6C48" w:rsidRDefault="004B6548" w:rsidP="00B061FC">
            <w:pPr>
              <w:pStyle w:val="NoSpacing"/>
              <w:spacing w:after="0"/>
              <w:jc w:val="center"/>
              <w:rPr>
                <w:rFonts w:ascii="Roboto" w:hAnsi="Roboto"/>
              </w:rPr>
            </w:pPr>
            <w:r w:rsidRPr="007C6C48">
              <w:rPr>
                <w:rFonts w:ascii="Roboto" w:hAnsi="Roboto"/>
                <w:i/>
                <w:iCs/>
              </w:rPr>
              <w:t>T</w:t>
            </w:r>
            <w:r w:rsidRPr="007C6C48">
              <w:rPr>
                <w:rFonts w:ascii="Roboto" w:hAnsi="Roboto"/>
              </w:rPr>
              <w:t xml:space="preserve"> (°C)</w:t>
            </w:r>
          </w:p>
        </w:tc>
        <w:tc>
          <w:tcPr>
            <w:tcW w:w="960" w:type="dxa"/>
            <w:tcBorders>
              <w:top w:val="single" w:sz="8" w:space="0" w:color="auto"/>
              <w:bottom w:val="single" w:sz="8" w:space="0" w:color="auto"/>
            </w:tcBorders>
            <w:vAlign w:val="center"/>
          </w:tcPr>
          <w:p w14:paraId="08CF1814" w14:textId="77777777" w:rsidR="004B6548" w:rsidRPr="007C6C48" w:rsidRDefault="004B6548" w:rsidP="00B061FC">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707" w:type="dxa"/>
            <w:tcBorders>
              <w:top w:val="single" w:sz="8" w:space="0" w:color="auto"/>
              <w:bottom w:val="single" w:sz="8" w:space="0" w:color="auto"/>
            </w:tcBorders>
            <w:vAlign w:val="center"/>
          </w:tcPr>
          <w:p w14:paraId="0BDB62F4" w14:textId="77777777" w:rsidR="004B6548" w:rsidRPr="007C6C48" w:rsidRDefault="004B6548" w:rsidP="00B061FC">
            <w:pPr>
              <w:pStyle w:val="NoSpacing"/>
              <w:spacing w:after="0"/>
              <w:jc w:val="center"/>
              <w:rPr>
                <w:rFonts w:ascii="Roboto" w:hAnsi="Roboto"/>
              </w:rPr>
            </w:pPr>
            <w:r w:rsidRPr="007C6C48">
              <w:rPr>
                <w:rFonts w:ascii="Roboto" w:hAnsi="Roboto"/>
              </w:rPr>
              <w:t>Composition</w:t>
            </w:r>
          </w:p>
        </w:tc>
        <w:tc>
          <w:tcPr>
            <w:tcW w:w="1842" w:type="dxa"/>
            <w:tcBorders>
              <w:top w:val="single" w:sz="8" w:space="0" w:color="auto"/>
              <w:bottom w:val="single" w:sz="8" w:space="0" w:color="auto"/>
            </w:tcBorders>
            <w:vAlign w:val="center"/>
          </w:tcPr>
          <w:p w14:paraId="5C6C7EB7" w14:textId="7A10CF2B" w:rsidR="004B6548" w:rsidRPr="007C6C48" w:rsidRDefault="004B6548" w:rsidP="004B6548">
            <w:pPr>
              <w:pStyle w:val="NoSpacing"/>
              <w:spacing w:after="0"/>
              <w:jc w:val="center"/>
              <w:rPr>
                <w:rFonts w:ascii="Roboto" w:hAnsi="Roboto"/>
              </w:rPr>
            </w:pPr>
            <w:r w:rsidRPr="007C6C48">
              <w:rPr>
                <w:rFonts w:ascii="Roboto" w:hAnsi="Roboto"/>
              </w:rPr>
              <w:t>Benchmark</w:t>
            </w:r>
          </w:p>
        </w:tc>
        <w:tc>
          <w:tcPr>
            <w:tcW w:w="2498" w:type="dxa"/>
            <w:tcBorders>
              <w:top w:val="single" w:sz="8" w:space="0" w:color="auto"/>
              <w:bottom w:val="single" w:sz="8" w:space="0" w:color="auto"/>
            </w:tcBorders>
            <w:vAlign w:val="center"/>
          </w:tcPr>
          <w:p w14:paraId="7A6FDA24" w14:textId="38C0EDB8" w:rsidR="004B6548" w:rsidRPr="007C6C48" w:rsidRDefault="004B6548" w:rsidP="00B061FC">
            <w:pPr>
              <w:pStyle w:val="NoSpacing"/>
              <w:spacing w:after="0"/>
              <w:jc w:val="center"/>
              <w:rPr>
                <w:rFonts w:ascii="Roboto" w:hAnsi="Roboto"/>
              </w:rPr>
            </w:pPr>
            <w:r w:rsidRPr="007C6C48">
              <w:rPr>
                <w:rFonts w:ascii="Roboto" w:hAnsi="Roboto"/>
              </w:rPr>
              <w:t>Reference</w:t>
            </w:r>
          </w:p>
        </w:tc>
      </w:tr>
      <w:tr w:rsidR="004B6548" w:rsidRPr="007C6C48" w14:paraId="6BD4474F" w14:textId="77777777" w:rsidTr="00025882">
        <w:tc>
          <w:tcPr>
            <w:tcW w:w="9016" w:type="dxa"/>
            <w:gridSpan w:val="6"/>
            <w:tcBorders>
              <w:top w:val="single" w:sz="8" w:space="0" w:color="auto"/>
              <w:bottom w:val="single" w:sz="8" w:space="0" w:color="auto"/>
            </w:tcBorders>
            <w:shd w:val="clear" w:color="auto" w:fill="E7E6E6" w:themeFill="background2"/>
          </w:tcPr>
          <w:p w14:paraId="08742C4D" w14:textId="494613BD"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H</w:t>
            </w:r>
            <w:r w:rsidRPr="007C6C48">
              <w:rPr>
                <w:rFonts w:ascii="Roboto" w:hAnsi="Roboto"/>
                <w:color w:val="000000" w:themeColor="text1"/>
                <w:vertAlign w:val="subscript"/>
              </w:rPr>
              <w:t>2</w:t>
            </w:r>
          </w:p>
        </w:tc>
      </w:tr>
      <w:tr w:rsidR="004B6548" w:rsidRPr="007C6C48" w14:paraId="74259C59" w14:textId="77777777" w:rsidTr="00B45276">
        <w:tc>
          <w:tcPr>
            <w:tcW w:w="1136" w:type="dxa"/>
            <w:tcBorders>
              <w:top w:val="single" w:sz="8" w:space="0" w:color="auto"/>
            </w:tcBorders>
          </w:tcPr>
          <w:p w14:paraId="49C08A86" w14:textId="77777777" w:rsidR="004B6548" w:rsidRPr="007C6C48" w:rsidRDefault="004B6548" w:rsidP="00B061FC">
            <w:pPr>
              <w:pStyle w:val="NoSpacing"/>
              <w:spacing w:after="0"/>
              <w:rPr>
                <w:rFonts w:ascii="Roboto" w:hAnsi="Roboto"/>
                <w:i/>
                <w:iCs/>
                <w:color w:val="000000" w:themeColor="text1"/>
              </w:rPr>
            </w:pPr>
            <w:r w:rsidRPr="007C6C48">
              <w:rPr>
                <w:rFonts w:ascii="Roboto" w:hAnsi="Roboto"/>
                <w:i/>
                <w:iCs/>
                <w:color w:val="000000" w:themeColor="text1"/>
              </w:rPr>
              <w:t>P</w:t>
            </w:r>
          </w:p>
        </w:tc>
        <w:tc>
          <w:tcPr>
            <w:tcW w:w="873" w:type="dxa"/>
            <w:tcBorders>
              <w:top w:val="single" w:sz="8" w:space="0" w:color="auto"/>
            </w:tcBorders>
          </w:tcPr>
          <w:p w14:paraId="7A8F1503"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1400–1450</w:t>
            </w:r>
          </w:p>
        </w:tc>
        <w:tc>
          <w:tcPr>
            <w:tcW w:w="960" w:type="dxa"/>
            <w:tcBorders>
              <w:top w:val="single" w:sz="8" w:space="0" w:color="auto"/>
            </w:tcBorders>
          </w:tcPr>
          <w:p w14:paraId="5E26083A"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 xml:space="preserve">7000– 30000 </w:t>
            </w:r>
          </w:p>
        </w:tc>
        <w:tc>
          <w:tcPr>
            <w:tcW w:w="1707" w:type="dxa"/>
            <w:tcBorders>
              <w:top w:val="single" w:sz="8" w:space="0" w:color="auto"/>
            </w:tcBorders>
          </w:tcPr>
          <w:p w14:paraId="741687E3"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Basalt (Fe-free)</w:t>
            </w:r>
          </w:p>
        </w:tc>
        <w:tc>
          <w:tcPr>
            <w:tcW w:w="1842" w:type="dxa"/>
            <w:tcBorders>
              <w:top w:val="single" w:sz="8" w:space="0" w:color="auto"/>
            </w:tcBorders>
          </w:tcPr>
          <w:p w14:paraId="44448D47" w14:textId="5182AA41" w:rsidR="004B6548" w:rsidRPr="007C6C48" w:rsidRDefault="007D2E49" w:rsidP="00B061FC">
            <w:pPr>
              <w:pStyle w:val="NoSpacing"/>
              <w:spacing w:after="0"/>
              <w:rPr>
                <w:rFonts w:ascii="Roboto" w:hAnsi="Roboto"/>
                <w:color w:val="000000" w:themeColor="text1"/>
              </w:rPr>
            </w:pPr>
            <w:r w:rsidRPr="007C6C48">
              <w:rPr>
                <w:rFonts w:ascii="Roboto" w:hAnsi="Roboto"/>
                <w:color w:val="000000" w:themeColor="text1"/>
              </w:rPr>
              <w:t>VolFe is the benchmark</w:t>
            </w:r>
          </w:p>
        </w:tc>
        <w:tc>
          <w:tcPr>
            <w:tcW w:w="2498" w:type="dxa"/>
            <w:vMerge w:val="restart"/>
            <w:tcBorders>
              <w:top w:val="single" w:sz="8" w:space="0" w:color="auto"/>
            </w:tcBorders>
          </w:tcPr>
          <w:p w14:paraId="1F68021C" w14:textId="0555B670"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Table S4 from</w:t>
            </w:r>
            <w:r w:rsidRPr="007C6C48">
              <w:rPr>
                <w:rFonts w:ascii="Roboto" w:hAnsi="Roboto"/>
                <w:color w:val="4472C4" w:themeColor="accent1"/>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(2024b)","plainTextFormattedCitation":"(Hughes et al., 2024)","previouslyFormattedCitation":"(Hughes et al., 2024b)"},"properties":{"noteIndex":0},"schema":"https://github.com/citation-style-language/schema/raw/master/csl-citation.json"}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Hughes et al. (2024b)</w:t>
            </w:r>
            <w:r w:rsidRPr="007C6C48">
              <w:rPr>
                <w:rFonts w:ascii="Roboto" w:hAnsi="Roboto"/>
                <w:color w:val="000000" w:themeColor="text1"/>
              </w:rPr>
              <w:fldChar w:fldCharType="end"/>
            </w:r>
            <w:r w:rsidRPr="007C6C48">
              <w:rPr>
                <w:rFonts w:ascii="Roboto" w:hAnsi="Roboto"/>
                <w:color w:val="000000" w:themeColor="text1"/>
              </w:rPr>
              <w:t xml:space="preserve"> based on data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{"citationItems":[{"id":"ITEM-1","itemData":{"DOI":"10.1016/J.EPSL.2012.06.031","ISSN":"0012-821X","abstract":"We present experiments from 0.7 to 3GPa that quantify solubility of H2 in silicate melts under controlled hydrogen fugacities (fH2). Two experimental series, one on synthetic basalt+COH and other with a synthetic andesite+OH, were conducted using a double capsule technique to impose a range of fH2, on the samples. Quenched glasses were analyzed by FTIR and SIMS. Both series follow simple solubility laws in which molecular H2 concentrations are proportional to fH2 and with a partial molar volume of molecular H2 of 11cm3/mole. Solubilities in andesitic melt are systematically greater than in basaltic liquid in a relationship consistent with control by the ionic porosity (IP) of the melts. Extrapolation based on IP allows estimation of the solubility of H2 in peridotitic melts applicable to magma oceans. The H2/(H2+H2O) ratio in silicate melts (where H2O includes molecular H2O and OH−) increases as conditions become more reduced, with increasing pressure, and with increasing total H. Under some conditions prevailing in the early Earth and terrestrial planets as well as in the deep Earth today, H2 can be a significant fraction of the dissolved H and at high pressure it may exceed “water” (H2O and OH−). Therefore, magmatic H2 may influence the initial distribution of volatiles and the redox evolution of terrestrial planets, as well as the ongoing formation and fate of hydrous melts in the deep Earth today. Hydrous species in melts in equilibrium with Fe-rich alloy at high pressure, for example during core formation from a magma ocean, could be chiefly H2, rather than H2O. Hence, delivery of H2 to the core by removal of Fe hydride need not be coupled to oxidation of the residual mantle. Although lunar basalts are much reduced, the fraction of H dissolved as molecular H2 is small owing to low total H concentrations. Extrapolation to conditions of potential hydrous partial melting in the deep Earth suggests that the chief magmatic volatile may be H2 rather than H2O. The very small partial specific density of magmatic H2 (0.18g/cm3 at low pressure) may provide significant positive buoyancy to deep partial melts.","author":[{"dropping-particle":"","family":"Hirschmann","given":"Marc M.","non-dropping-particle":"","parse-names":false,"suffix":""},{"dropping-particle":"","family":"Withers","given":"A.C.","non-dropping-particle":"","parse-names":false,"suffix":""},{"dropping-particle":"","family":"Ardia","given":"P.","non-dropping-particle":"","parse-names":false,"suffix":""},{"dropping-particle":"","family":"Foley","given":"N.T.","non-dropping-particle":"","parse-names":false,"suffix":""}],"container-title":"Earth and Planetary Science Letters","id":"ITEM-1","issued":{"date-parts":[["2012","9","1"]]},"page":"38-48","publisher":"Elsevier","title":"Solubility of molecular hydrogen in silicate melts and consequences for volatile evolution of terrestrial planets","type":"article-journal","volume":"345-348"},"uris":["http://www.mendeley.com/documents/?uuid=0b218f94-363e-373b-aae6-51c0c4c55f42"]}],"mendeley":{"formattedCitation":"(Hirschmann et al., 2012)","manualFormatting":"Hirschmann et al. (2012)","plainTextFormattedCitation":"(Hirschmann et al., 2012)","previouslyFormattedCitation":"(Hirschmann et al., 2012)"},"properties":{"noteIndex":0},"schema":"https://github.com/citation-style-language/schema/raw/master/csl-citation.json"}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Hirschmann et al. (2012)</w:t>
            </w:r>
            <w:r w:rsidRPr="007C6C48">
              <w:rPr>
                <w:rFonts w:ascii="Roboto" w:hAnsi="Roboto"/>
                <w:color w:val="000000" w:themeColor="text1"/>
              </w:rPr>
              <w:fldChar w:fldCharType="end"/>
            </w:r>
          </w:p>
        </w:tc>
      </w:tr>
      <w:tr w:rsidR="004B6548" w:rsidRPr="007C6C48" w14:paraId="34252766" w14:textId="77777777" w:rsidTr="00B45276">
        <w:tc>
          <w:tcPr>
            <w:tcW w:w="1136" w:type="dxa"/>
            <w:tcBorders>
              <w:bottom w:val="single" w:sz="8" w:space="0" w:color="auto"/>
            </w:tcBorders>
          </w:tcPr>
          <w:p w14:paraId="61EBFAAA" w14:textId="77777777" w:rsidR="004B6548" w:rsidRPr="007C6C48" w:rsidRDefault="004B6548" w:rsidP="00B061FC">
            <w:pPr>
              <w:pStyle w:val="NoSpacing"/>
              <w:spacing w:after="0"/>
              <w:rPr>
                <w:rFonts w:ascii="Roboto" w:hAnsi="Roboto"/>
                <w:i/>
                <w:iCs/>
                <w:color w:val="000000" w:themeColor="text1"/>
              </w:rPr>
            </w:pPr>
            <w:r w:rsidRPr="007C6C48">
              <w:rPr>
                <w:rFonts w:ascii="Roboto" w:hAnsi="Roboto"/>
                <w:i/>
                <w:iCs/>
                <w:color w:val="000000" w:themeColor="text1"/>
              </w:rPr>
              <w:t>P</w:t>
            </w:r>
          </w:p>
        </w:tc>
        <w:tc>
          <w:tcPr>
            <w:tcW w:w="873" w:type="dxa"/>
            <w:tcBorders>
              <w:bottom w:val="single" w:sz="8" w:space="0" w:color="auto"/>
            </w:tcBorders>
          </w:tcPr>
          <w:p w14:paraId="34FC412C"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1400</w:t>
            </w:r>
          </w:p>
        </w:tc>
        <w:tc>
          <w:tcPr>
            <w:tcW w:w="960" w:type="dxa"/>
            <w:tcBorders>
              <w:bottom w:val="single" w:sz="8" w:space="0" w:color="auto"/>
            </w:tcBorders>
          </w:tcPr>
          <w:p w14:paraId="4C5D00A9"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 xml:space="preserve">10000–30000 </w:t>
            </w:r>
          </w:p>
        </w:tc>
        <w:tc>
          <w:tcPr>
            <w:tcW w:w="1707" w:type="dxa"/>
            <w:tcBorders>
              <w:bottom w:val="single" w:sz="8" w:space="0" w:color="auto"/>
            </w:tcBorders>
          </w:tcPr>
          <w:p w14:paraId="26EF3EC5"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Andesite (Fe-free)</w:t>
            </w:r>
          </w:p>
        </w:tc>
        <w:tc>
          <w:tcPr>
            <w:tcW w:w="1842" w:type="dxa"/>
            <w:tcBorders>
              <w:bottom w:val="single" w:sz="8" w:space="0" w:color="auto"/>
            </w:tcBorders>
          </w:tcPr>
          <w:p w14:paraId="558974A8" w14:textId="66F505E5" w:rsidR="004B6548" w:rsidRPr="007C6C48" w:rsidRDefault="007D2E49" w:rsidP="00B061FC">
            <w:pPr>
              <w:pStyle w:val="NoSpacing"/>
              <w:spacing w:after="0"/>
              <w:rPr>
                <w:rFonts w:ascii="Roboto" w:hAnsi="Roboto"/>
                <w:color w:val="FF0000"/>
              </w:rPr>
            </w:pPr>
            <w:r w:rsidRPr="007C6C48">
              <w:rPr>
                <w:rFonts w:ascii="Roboto" w:hAnsi="Roboto"/>
                <w:color w:val="000000" w:themeColor="text1"/>
              </w:rPr>
              <w:t>VolFe is the benchmark</w:t>
            </w:r>
          </w:p>
        </w:tc>
        <w:tc>
          <w:tcPr>
            <w:tcW w:w="2498" w:type="dxa"/>
            <w:vMerge/>
            <w:tcBorders>
              <w:bottom w:val="single" w:sz="8" w:space="0" w:color="auto"/>
            </w:tcBorders>
          </w:tcPr>
          <w:p w14:paraId="4347CA35" w14:textId="14ECA52D" w:rsidR="004B6548" w:rsidRPr="007C6C48" w:rsidRDefault="004B6548" w:rsidP="00B061FC">
            <w:pPr>
              <w:pStyle w:val="NoSpacing"/>
              <w:spacing w:after="0"/>
              <w:rPr>
                <w:rFonts w:ascii="Roboto" w:hAnsi="Roboto"/>
                <w:color w:val="FF0000"/>
              </w:rPr>
            </w:pPr>
          </w:p>
        </w:tc>
      </w:tr>
      <w:tr w:rsidR="004B6548" w:rsidRPr="007C6C48" w14:paraId="19503D08" w14:textId="77777777" w:rsidTr="00025882">
        <w:tc>
          <w:tcPr>
            <w:tcW w:w="9016" w:type="dxa"/>
            <w:gridSpan w:val="6"/>
            <w:tcBorders>
              <w:top w:val="single" w:sz="8" w:space="0" w:color="auto"/>
              <w:bottom w:val="single" w:sz="8" w:space="0" w:color="auto"/>
            </w:tcBorders>
            <w:shd w:val="clear" w:color="auto" w:fill="E7E6E6" w:themeFill="background2"/>
          </w:tcPr>
          <w:p w14:paraId="10654D39" w14:textId="154D2B8C"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w:t>
            </w:r>
          </w:p>
        </w:tc>
      </w:tr>
      <w:tr w:rsidR="004B6548" w:rsidRPr="007C6C48" w14:paraId="713C27E1" w14:textId="77777777" w:rsidTr="00B45276">
        <w:tc>
          <w:tcPr>
            <w:tcW w:w="1136" w:type="dxa"/>
            <w:tcBorders>
              <w:top w:val="single" w:sz="8" w:space="0" w:color="auto"/>
              <w:bottom w:val="single" w:sz="8" w:space="0" w:color="auto"/>
            </w:tcBorders>
          </w:tcPr>
          <w:p w14:paraId="36420DA9" w14:textId="77777777" w:rsidR="004B6548" w:rsidRPr="007C6C48" w:rsidRDefault="004B6548" w:rsidP="00B061FC">
            <w:pPr>
              <w:pStyle w:val="NoSpacing"/>
              <w:spacing w:after="0"/>
              <w:rPr>
                <w:rFonts w:ascii="Roboto" w:hAnsi="Roboto"/>
                <w:i/>
                <w:iCs/>
                <w:color w:val="000000" w:themeColor="text1"/>
              </w:rPr>
            </w:pPr>
            <w:r w:rsidRPr="007C6C48">
              <w:rPr>
                <w:rFonts w:ascii="Roboto" w:hAnsi="Roboto"/>
                <w:i/>
                <w:iCs/>
                <w:color w:val="000000" w:themeColor="text1"/>
              </w:rPr>
              <w:t>P</w:t>
            </w:r>
          </w:p>
        </w:tc>
        <w:tc>
          <w:tcPr>
            <w:tcW w:w="873" w:type="dxa"/>
            <w:tcBorders>
              <w:top w:val="single" w:sz="8" w:space="0" w:color="auto"/>
              <w:bottom w:val="single" w:sz="8" w:space="0" w:color="auto"/>
            </w:tcBorders>
          </w:tcPr>
          <w:p w14:paraId="1F12D740" w14:textId="77777777" w:rsidR="004B6548" w:rsidRPr="007C6C48" w:rsidRDefault="004B6548" w:rsidP="00B061FC">
            <w:pPr>
              <w:pStyle w:val="NoSpacing"/>
              <w:spacing w:after="0"/>
              <w:jc w:val="right"/>
              <w:rPr>
                <w:rFonts w:ascii="Roboto" w:hAnsi="Roboto"/>
                <w:color w:val="FF0000"/>
              </w:rPr>
            </w:pPr>
            <w:r w:rsidRPr="007C6C48">
              <w:rPr>
                <w:rFonts w:ascii="Roboto" w:hAnsi="Roboto"/>
              </w:rPr>
              <w:t>1340–1617</w:t>
            </w:r>
          </w:p>
        </w:tc>
        <w:tc>
          <w:tcPr>
            <w:tcW w:w="960" w:type="dxa"/>
            <w:tcBorders>
              <w:top w:val="single" w:sz="8" w:space="0" w:color="auto"/>
              <w:bottom w:val="single" w:sz="8" w:space="0" w:color="auto"/>
            </w:tcBorders>
          </w:tcPr>
          <w:p w14:paraId="30D87756" w14:textId="77777777" w:rsidR="004B6548" w:rsidRPr="007C6C48" w:rsidRDefault="004B6548" w:rsidP="00B061FC">
            <w:pPr>
              <w:pStyle w:val="NoSpacing"/>
              <w:spacing w:after="0"/>
              <w:jc w:val="right"/>
              <w:rPr>
                <w:rFonts w:ascii="Roboto" w:hAnsi="Roboto"/>
                <w:color w:val="FF0000"/>
              </w:rPr>
            </w:pPr>
            <w:r w:rsidRPr="007C6C48">
              <w:rPr>
                <w:rFonts w:ascii="Roboto" w:hAnsi="Roboto"/>
              </w:rPr>
              <w:t>350–32000</w:t>
            </w:r>
          </w:p>
        </w:tc>
        <w:tc>
          <w:tcPr>
            <w:tcW w:w="1707" w:type="dxa"/>
            <w:tcBorders>
              <w:top w:val="single" w:sz="8" w:space="0" w:color="auto"/>
              <w:bottom w:val="single" w:sz="8" w:space="0" w:color="auto"/>
            </w:tcBorders>
          </w:tcPr>
          <w:p w14:paraId="7B66E3D9" w14:textId="77777777" w:rsidR="004B6548" w:rsidRPr="007C6C48" w:rsidRDefault="004B6548" w:rsidP="00B061FC">
            <w:pPr>
              <w:pStyle w:val="NoSpacing"/>
              <w:spacing w:after="0"/>
              <w:rPr>
                <w:rFonts w:ascii="Roboto" w:hAnsi="Roboto"/>
                <w:color w:val="FF0000"/>
              </w:rPr>
            </w:pPr>
            <w:r w:rsidRPr="007C6C48">
              <w:rPr>
                <w:rFonts w:ascii="Roboto" w:hAnsi="Roboto"/>
                <w:color w:val="000000" w:themeColor="text1"/>
              </w:rPr>
              <w:t>Basalt</w:t>
            </w:r>
          </w:p>
        </w:tc>
        <w:tc>
          <w:tcPr>
            <w:tcW w:w="1842" w:type="dxa"/>
            <w:tcBorders>
              <w:top w:val="single" w:sz="8" w:space="0" w:color="auto"/>
              <w:bottom w:val="single" w:sz="8" w:space="0" w:color="auto"/>
            </w:tcBorders>
          </w:tcPr>
          <w:p w14:paraId="71A91BC7" w14:textId="542919A8" w:rsidR="004B6548" w:rsidRPr="007C6C48" w:rsidRDefault="007D2E49" w:rsidP="00B061FC">
            <w:pPr>
              <w:pStyle w:val="NoSpacing"/>
              <w:spacing w:after="0"/>
              <w:rPr>
                <w:rFonts w:ascii="Roboto" w:hAnsi="Roboto"/>
                <w:color w:val="000000" w:themeColor="text1"/>
              </w:rPr>
            </w:pPr>
            <w:r w:rsidRPr="007C6C48">
              <w:rPr>
                <w:rFonts w:ascii="Roboto" w:hAnsi="Roboto"/>
                <w:color w:val="000000" w:themeColor="text1"/>
              </w:rPr>
              <w:t>VolFe is the benchmark</w:t>
            </w:r>
          </w:p>
        </w:tc>
        <w:tc>
          <w:tcPr>
            <w:tcW w:w="2498" w:type="dxa"/>
            <w:tcBorders>
              <w:top w:val="single" w:sz="8" w:space="0" w:color="auto"/>
              <w:bottom w:val="single" w:sz="8" w:space="0" w:color="auto"/>
            </w:tcBorders>
          </w:tcPr>
          <w:p w14:paraId="353FF238" w14:textId="3FEC91FB" w:rsidR="004B6548" w:rsidRPr="007C6C48" w:rsidRDefault="004B6548" w:rsidP="00B061FC">
            <w:pPr>
              <w:pStyle w:val="NoSpacing"/>
              <w:spacing w:after="0"/>
              <w:rPr>
                <w:rFonts w:ascii="Roboto" w:hAnsi="Roboto"/>
                <w:color w:val="FF0000"/>
              </w:rPr>
            </w:pPr>
            <w:r w:rsidRPr="007C6C48">
              <w:rPr>
                <w:rFonts w:ascii="Roboto" w:hAnsi="Roboto"/>
                <w:color w:val="000000" w:themeColor="text1"/>
              </w:rPr>
              <w:t>Table S4 from</w:t>
            </w:r>
            <w:r w:rsidRPr="007C6C48">
              <w:rPr>
                <w:rFonts w:ascii="Roboto" w:hAnsi="Roboto"/>
                <w:color w:val="4472C4" w:themeColor="accent1"/>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(2024b)","plainTextFormattedCitation":"(Hughes et al., 2024)","previouslyFormattedCitation":"(Hughes et al., 2024b)"},"properties":{"noteIndex":0},"schema":"https://github.com/citation-style-language/schema/raw/master/csl-citation.json"}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Hughes et al. (2024b)</w:t>
            </w:r>
            <w:r w:rsidRPr="007C6C48">
              <w:rPr>
                <w:rFonts w:ascii="Roboto" w:hAnsi="Roboto"/>
                <w:color w:val="000000" w:themeColor="text1"/>
              </w:rPr>
              <w:fldChar w:fldCharType="end"/>
            </w:r>
            <w:r w:rsidRPr="007C6C48">
              <w:rPr>
                <w:rFonts w:ascii="Roboto" w:hAnsi="Roboto"/>
                <w:color w:val="000000" w:themeColor="text1"/>
              </w:rPr>
              <w:t xml:space="preserve"> based on data from</w:t>
            </w:r>
            <w:r w:rsidRPr="007C6C48">
              <w:rPr>
                <w:rFonts w:ascii="Roboto" w:hAnsi="Roboto"/>
                <w:color w:val="4472C4" w:themeColor="accent1"/>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{"citationItems":[{"id":"ITEM-1","itemData":{"DOI":"10.1016/j.gca.2015.07.007","ISSN":"00167037","abstract":"Using vibrational spectroscopy and SIMS, we determined the solubility and speciation of C-O-H-N dissolved volatiles in mafic glasses quenched from high pressure under reduced conditions, with fO2 from -3.65 to +1.46 relative to the iron-wüstite buffer (IW). Experiments were performed on martian and terrestrial basalts at 1.2GPa and 1400°C in graphite containers with variable availability of H2O, and in the presence of FePt alloys or Fe-C liquids. The dominant C-O-H-N species varies systematically with fO2 and H2O content: the carbonate ion prevails above IW+1, but for dry conditions between IW-2 and IW+1, CO species are most important. Below IW, reduced NH-bearing species are present. At the most reducing and hydrous (~0.5wt% H2O) conditions, small amounts of CH4 are present. Concentrations of C diminish as conditions become more reduced, amounting to 10s to ~100ppm in the interval ~IW-2 to IW+1 where CO species dominate, and as little as 1-3ppm at more reduced conditions. Concentrations of non-carbonate carbon, dominated by CO species, correlate with CO fugacities along a trend implying that the species stoichiometry has just one CO group and suggesting that carbonyl complexes (transition metals with multiple carbon monoxide ligands) are not important species under these conditions. C partition coefficients between Fe-C liquid and silicate melt increase with decreasing fO2, becoming as great as 104 for the most reducing conditions investigated. The low solubility of C in silicate liquids under reducing conditions means that most C during the magma ocean stage of planetary differentiation is either segregated to the core or in the overlying atmosphere. Precipitation of C-rich phases in a carbon-saturated magma ocean is also possible, and is one mechanism by which some C can be retained in the mantle of a planet. The predominant magmatic carbonaceous species for both martian and lunar volcanism is likely CO.","author":[{"dropping-particle":"","family":"Armstrong","given":"Lora S.","non-dropping-particle":"","parse-names":false,"suffix":""},{"dropping-particle":"","family":"Hirschmann","given":"Marc M.","non-dropping-particle":"","parse-names":false,"suffix":""},{"dropping-particle":"","family":"Stanley","given":"Ben D.","non-dropping-particle":"","parse-names":false,"suffix":""},{"dropping-particle":"","family":"Falksen","given":"Emily G.","non-dropping-particle":"","parse-names":false,"suffix":""},{"dropping-particle":"","family":"Jacobsen","given":"Steven D.","non-dropping-particle":"","parse-names":false,"suffix":""}],"container-title":"Geochimica et Cosmochimica Acta","id":"ITEM-1","issued":{"date-parts":[["2015","12","15"]]},"page":"283-302","publisher":"Elsevier Ltd","title":"Speciation and solubility of reduced C-O-H-N volatiles in mafic melt: Implications for volcanism, atmospheric evolution, and deep volatile cycles in the terrestrial planets","type":"article-journal","volume":"171"},"uris":["http://www.mendeley.com/documents/?uuid=6626ae04-d1ec-3960-bcb4-cbad3fb244b0"]},{"id":"ITEM-2","itemData":{"DOI":"10.1016/j.gca.2013.12.013","ISSN":"00167037","abstract":"To determine the speciation and concentrations of dissolved COH volatiles in graphite-saturated martian primitive magmas, we conducted piston-cylinder experiments on graphite-encapsulated synthetic melt of Adirondack-class Humphrey basaltic composition. Experiments were performed over three orders of magnitude in oxygen fugacity (IW+2.3 to IW-0.8), and at pressures (1-3.2GPa) and temperatures (1340-1617°C) similar to those of possible martian source regions. Oxygen fugacities were determined from compositions of coexisting silicate melt+FePt alloy, olivine+pyroxene+FePt alloy, or melt+FeC liquid. Infrared spectra of quenched glasses all show carbonate absorptions at 1430 and 1520cm-1, with CO2 concentrations diminishing under more reduced conditions, from 0.50wt% down to 26ppm. Carbon contents of silicate glasses and FeC liquids were measured using secondary ion mass spectrometry (SIMS) yielding 36-716ppm and 6.71-7.03wt%, respectively. Fourier transform infrared (FTIR) and SIMS analysis produced similar H2O contents of 0.26-0.85 and 0.29-0.40wt%, respectively. Raman spectra of glasses reveal evidence for OH- ions, but no indication of methane-related species. FTIR-measured concentrations of dissolved carbonate diminish linearly with oxygen fugacity, but more reduced conditions yield greater dissolved carbonate concentrations than would be expected based on oxidized conditions in previous work. C contents of silicate glasses determined by SIMS are consistently higher than C as carbonate determined by FTIR. Their difference, termed non-carbonate C, correlates well with additional IR absorptions found in reduced glasses (fO2&lt;IW+0.4) at 1615, 2205, and 3370cm-1. These absorption bands are not seen in more oxidized glasses, except B441 (IW+1.7), presumably because they represent reduced C-bearing complexes. The 2205cm-1 peak is attributed to a CO complex, possibly an Fe-carbonyl ion. The 1615cm-1 peak does not correlate with that at 2205cm-1, but does correlate with non-carbonate C and is in a region commonly associated with CO bonding. The origin of the peak at 3370cm-1 is poorly understood and could potentially be owing to a variety of COH species or to NH bonding. The intensities of the 1615 and 3370cm-1 peaks correlate with each other leading us to provisionally attribute both to an unspecified complex with both CO and NH bonds. These results suggest that dissolved species such as carbonyl or other CO-bearing species could be a significant source of C f…","author":[{"dropping-particle":"","family":"Stanley","given":"Ben D.","non-dropping-particle":"","parse-names":false,"suffix":""},{"dropping-particle":"","family":"Hirschmann","given":"Marc M.","non-dropping-particle":"","parse-names":false,"suffix":""},{"dropping-particle":"","family":"Withers","given":"Anthony C.","non-dropping-particle":"","parse-names":false,"suffix":""}],"container-title":"Geochimica et Cosmochimica Acta","id":"ITEM-2","issued":{"date-parts":[["2014","3","15"]]},"page":"54-76","publisher":"Pergamon","title":"Solubility of COH volatiles in graphite-saturated martian basalts","type":"article-journal","volume":"129"},"uris":["http://www.mendeley.com/documents/?uuid=13f87006-e263-37ba-9dda-70e9face5223"]},{"id":"ITEM-3","itemData":{"DOI":"10.1073/PNAS.1219266110","ISSN":"00278424","abstract":"Degassing of planetary interiors through surface volcanism plays an important role in the evolution of planetary bodies and atmospheres. On Earth, carbon dioxide and water are the primary volatile species in magmas. However, little is known about the speciation and degassing of carbon in magmas formed on other planets (i.e., Moon, Mars, Mercury), where the mantle oxidation state [oxygen fugacity (fO2)] is different from that of the Earth. Using experiments on a lunar basalt composition, we confirm that carbon dissolves as carbonate at an fO2 higher than -0.55 relative to the iron wustite oxygen buffer (IW-0.55), whereas at a lower fO2, we discover that carbon is present mainly as iron pentacarbonyl and in smaller amounts as methane in the melt. The transition of carbon speciation in mantle-derived melts at fO2 less than IW-0.55 is associated with a decrease in carbon solubility by a factor of 2. Thus, the fO2 controls carbon speciation and solubility in mantle-derived melts even more than previous data indicate, and the degassing of reduced carbon from Fe-rich basalts on planetary bodies would produce methane-bearing, CO-rich early atmospheres with a strong greenhouse potential.","author":[{"dropping-particle":"","family":"Wetzel"</w:instrText>
            </w:r>
            <w:r w:rsidRPr="007C6C48">
              <w:rPr>
                <w:rFonts w:ascii="Roboto" w:hAnsi="Roboto"/>
                <w:color w:val="000000" w:themeColor="text1"/>
                <w:lang w:val="nl-NL"/>
              </w:rPr>
              <w:instrText>,"given":"Diane T.","non-dropping-particle":"","parse-names":false,"suffix":""},{"dropping-particle":"","family":"Rutherford","given":"Malcolm J.","non-dropping-particle":"","parse-names":false,"suffix":""},{"dropping-particle":"","family":"Jacobsen","given":"Steven D.","non-dropping-particle":"","parse-names":false,"suffix":""},{"dropping-particle":"","family":"Hauri","given":"Erik H.","non-dropping-particle":"","parse-names":false,"suffix":""},{"dropping-particle":"","family":"Saal","given":"Alberto E.","non-dropping-particle":"","parse-names":false,"suffix":""}],"container-title":"Proceedings of the National Academy of Sciences","id":"ITEM-3","issue":"20","issued":{"date-parts":[["2013","5","14"]]},"page":"8010-8013","publisher":"Proceedings of the National Academy of Sciences","title":"Degassing of reduced carbon from planetary basalts","type":"article-journal","volume":"110"},"uris":["http://www.mendeley.com/documents/?uuid=b657d41a-4628-3245-978b-75872b92a032"]}],"mendeley":{"formattedCitation":"(Armstrong et al., 2015; Stanley et al., 2014; Wetzel et al., 2013)","manualFormatting":"Armstrong et al. (2015), Stanley et al. (2014), and Wetzel et al. (2013)","plainTextFormattedCitation":"(Armstrong et al., 2015; Stanley et al., 2014; Wetzel et al., 2013)","previouslyFormattedCitation":"(Armstrong et al., 2015; Stanley et al., 2014; Wetzel et al., 2013)"},"properties":{"noteIndex":0},"schema":"https://github.com/citation-style-language/schema/raw/master/csl-citation.json"}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lang w:val="nl-NL"/>
              </w:rPr>
              <w:t xml:space="preserve">Armstrong et al. (2015), Stanley et </w:t>
            </w:r>
            <w:r w:rsidRPr="007C6C48">
              <w:rPr>
                <w:rFonts w:ascii="Roboto" w:hAnsi="Roboto"/>
                <w:noProof/>
                <w:color w:val="000000" w:themeColor="text1"/>
                <w:lang w:val="nl-NL"/>
              </w:rPr>
              <w:lastRenderedPageBreak/>
              <w:t xml:space="preserve">al. (2014), and Wetzel et al. </w:t>
            </w:r>
            <w:r w:rsidRPr="007C6C48">
              <w:rPr>
                <w:rFonts w:ascii="Roboto" w:hAnsi="Roboto"/>
                <w:noProof/>
                <w:color w:val="000000" w:themeColor="text1"/>
              </w:rPr>
              <w:t>(2013)</w:t>
            </w:r>
            <w:r w:rsidRPr="007C6C48">
              <w:rPr>
                <w:rFonts w:ascii="Roboto" w:hAnsi="Roboto"/>
                <w:color w:val="000000" w:themeColor="text1"/>
              </w:rPr>
              <w:fldChar w:fldCharType="end"/>
            </w:r>
          </w:p>
        </w:tc>
      </w:tr>
      <w:tr w:rsidR="004B6548" w:rsidRPr="007C6C48" w14:paraId="54B2255D" w14:textId="77777777" w:rsidTr="00025882">
        <w:tc>
          <w:tcPr>
            <w:tcW w:w="9016" w:type="dxa"/>
            <w:gridSpan w:val="6"/>
            <w:tcBorders>
              <w:top w:val="single" w:sz="8" w:space="0" w:color="auto"/>
              <w:bottom w:val="single" w:sz="8" w:space="0" w:color="auto"/>
            </w:tcBorders>
            <w:shd w:val="clear" w:color="auto" w:fill="E7E6E6" w:themeFill="background2"/>
          </w:tcPr>
          <w:p w14:paraId="2BD2E544" w14:textId="7F9B9A13"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lastRenderedPageBreak/>
              <w:t>CH</w:t>
            </w:r>
            <w:r w:rsidRPr="007C6C48">
              <w:rPr>
                <w:rFonts w:ascii="Roboto" w:hAnsi="Roboto"/>
                <w:color w:val="000000" w:themeColor="text1"/>
                <w:vertAlign w:val="subscript"/>
              </w:rPr>
              <w:t>4</w:t>
            </w:r>
          </w:p>
        </w:tc>
      </w:tr>
      <w:tr w:rsidR="004B6548" w:rsidRPr="007C6C48" w14:paraId="24D49B1A" w14:textId="77777777" w:rsidTr="00B45276">
        <w:tc>
          <w:tcPr>
            <w:tcW w:w="1136" w:type="dxa"/>
            <w:tcBorders>
              <w:top w:val="single" w:sz="8" w:space="0" w:color="auto"/>
              <w:bottom w:val="single" w:sz="8" w:space="0" w:color="auto"/>
            </w:tcBorders>
          </w:tcPr>
          <w:p w14:paraId="51503B73" w14:textId="77777777" w:rsidR="004B6548" w:rsidRPr="007C6C48" w:rsidRDefault="004B6548" w:rsidP="00B061FC">
            <w:pPr>
              <w:pStyle w:val="NoSpacing"/>
              <w:spacing w:after="0"/>
              <w:rPr>
                <w:rFonts w:ascii="Roboto" w:hAnsi="Roboto"/>
                <w:i/>
                <w:iCs/>
                <w:color w:val="000000" w:themeColor="text1"/>
              </w:rPr>
            </w:pPr>
            <w:r w:rsidRPr="007C6C48">
              <w:rPr>
                <w:rFonts w:ascii="Roboto" w:hAnsi="Roboto"/>
                <w:i/>
                <w:iCs/>
                <w:color w:val="000000" w:themeColor="text1"/>
              </w:rPr>
              <w:t>P</w:t>
            </w:r>
          </w:p>
        </w:tc>
        <w:tc>
          <w:tcPr>
            <w:tcW w:w="873" w:type="dxa"/>
            <w:tcBorders>
              <w:top w:val="single" w:sz="8" w:space="0" w:color="auto"/>
              <w:bottom w:val="single" w:sz="8" w:space="0" w:color="auto"/>
            </w:tcBorders>
          </w:tcPr>
          <w:p w14:paraId="0E057C61"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 xml:space="preserve">1400–1450 </w:t>
            </w:r>
          </w:p>
        </w:tc>
        <w:tc>
          <w:tcPr>
            <w:tcW w:w="960" w:type="dxa"/>
            <w:tcBorders>
              <w:top w:val="single" w:sz="8" w:space="0" w:color="auto"/>
              <w:bottom w:val="single" w:sz="8" w:space="0" w:color="auto"/>
            </w:tcBorders>
          </w:tcPr>
          <w:p w14:paraId="0381414D"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 xml:space="preserve">7000–30000 </w:t>
            </w:r>
          </w:p>
        </w:tc>
        <w:tc>
          <w:tcPr>
            <w:tcW w:w="1707" w:type="dxa"/>
            <w:tcBorders>
              <w:top w:val="single" w:sz="8" w:space="0" w:color="auto"/>
              <w:bottom w:val="single" w:sz="8" w:space="0" w:color="auto"/>
            </w:tcBorders>
          </w:tcPr>
          <w:p w14:paraId="10B2D2F5"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Basalt (Fe-free)</w:t>
            </w:r>
          </w:p>
        </w:tc>
        <w:tc>
          <w:tcPr>
            <w:tcW w:w="1842" w:type="dxa"/>
            <w:tcBorders>
              <w:top w:val="single" w:sz="8" w:space="0" w:color="auto"/>
              <w:bottom w:val="single" w:sz="8" w:space="0" w:color="auto"/>
            </w:tcBorders>
          </w:tcPr>
          <w:p w14:paraId="338F76E1" w14:textId="2C7CF04B" w:rsidR="004B6548" w:rsidRPr="007C6C48" w:rsidRDefault="00726532" w:rsidP="00B061FC">
            <w:pPr>
              <w:pStyle w:val="NoSpacing"/>
              <w:spacing w:after="0"/>
              <w:rPr>
                <w:rFonts w:ascii="Roboto" w:hAnsi="Roboto"/>
                <w:color w:val="000000" w:themeColor="text1"/>
              </w:rPr>
            </w:pPr>
            <w:r w:rsidRPr="007C6C48">
              <w:rPr>
                <w:rFonts w:ascii="Roboto" w:hAnsi="Roboto"/>
                <w:color w:val="000000" w:themeColor="text1"/>
              </w:rPr>
              <w:t>-</w:t>
            </w:r>
          </w:p>
        </w:tc>
        <w:tc>
          <w:tcPr>
            <w:tcW w:w="2498" w:type="dxa"/>
            <w:tcBorders>
              <w:top w:val="single" w:sz="8" w:space="0" w:color="auto"/>
              <w:bottom w:val="single" w:sz="8" w:space="0" w:color="auto"/>
            </w:tcBorders>
          </w:tcPr>
          <w:p w14:paraId="3753CC62" w14:textId="40C7297D"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 xml:space="preserve">Eq. (7a) from </w:t>
            </w:r>
            <w:r w:rsidRPr="007C6C48">
              <w:rPr>
                <w:rFonts w:ascii="Roboto" w:hAnsi="Roboto"/>
                <w:noProof/>
              </w:rPr>
              <w:t>Ardia et al. (2013)</w:t>
            </w:r>
          </w:p>
        </w:tc>
      </w:tr>
      <w:tr w:rsidR="004B6548" w:rsidRPr="007C6C48" w14:paraId="7148CAAF" w14:textId="77777777" w:rsidTr="00025882">
        <w:tc>
          <w:tcPr>
            <w:tcW w:w="9016" w:type="dxa"/>
            <w:gridSpan w:val="6"/>
            <w:tcBorders>
              <w:top w:val="single" w:sz="8" w:space="0" w:color="auto"/>
              <w:bottom w:val="single" w:sz="8" w:space="0" w:color="auto"/>
            </w:tcBorders>
            <w:shd w:val="clear" w:color="auto" w:fill="E7E6E6" w:themeFill="background2"/>
          </w:tcPr>
          <w:p w14:paraId="0B4F0393" w14:textId="21D060BE" w:rsidR="004B6548" w:rsidRPr="007C6C48" w:rsidRDefault="004B6548" w:rsidP="00B061FC">
            <w:pPr>
              <w:pStyle w:val="NoSpacing"/>
              <w:spacing w:after="0"/>
              <w:rPr>
                <w:rFonts w:ascii="Roboto" w:hAnsi="Roboto"/>
                <w:color w:val="000000" w:themeColor="text1"/>
              </w:rPr>
            </w:pPr>
            <w:r w:rsidRPr="007C6C48">
              <w:rPr>
                <w:rFonts w:ascii="Roboto" w:hAnsi="Roboto"/>
                <w:i/>
                <w:iCs/>
                <w:color w:val="000000" w:themeColor="text1"/>
              </w:rPr>
              <w:t>C</w:t>
            </w:r>
            <w:r w:rsidRPr="007C6C48">
              <w:rPr>
                <w:rFonts w:ascii="Roboto" w:hAnsi="Roboto"/>
                <w:color w:val="000000" w:themeColor="text1"/>
                <w:vertAlign w:val="subscript"/>
              </w:rPr>
              <w:t>H2S</w:t>
            </w:r>
          </w:p>
        </w:tc>
      </w:tr>
      <w:tr w:rsidR="004B6548" w:rsidRPr="007C6C48" w14:paraId="21D4F721" w14:textId="77777777" w:rsidTr="00B45276">
        <w:tc>
          <w:tcPr>
            <w:tcW w:w="1136" w:type="dxa"/>
            <w:tcBorders>
              <w:top w:val="single" w:sz="8" w:space="0" w:color="auto"/>
            </w:tcBorders>
          </w:tcPr>
          <w:p w14:paraId="109482D4"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Borders>
              <w:top w:val="single" w:sz="8" w:space="0" w:color="auto"/>
            </w:tcBorders>
          </w:tcPr>
          <w:p w14:paraId="2C6BBE2F"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1050</w:t>
            </w:r>
          </w:p>
        </w:tc>
        <w:tc>
          <w:tcPr>
            <w:tcW w:w="960" w:type="dxa"/>
            <w:tcBorders>
              <w:top w:val="single" w:sz="8" w:space="0" w:color="auto"/>
            </w:tcBorders>
          </w:tcPr>
          <w:p w14:paraId="3C6BC945"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 xml:space="preserve">2980–3120 </w:t>
            </w:r>
          </w:p>
        </w:tc>
        <w:tc>
          <w:tcPr>
            <w:tcW w:w="1707" w:type="dxa"/>
            <w:tcBorders>
              <w:top w:val="single" w:sz="8" w:space="0" w:color="auto"/>
            </w:tcBorders>
          </w:tcPr>
          <w:p w14:paraId="0E153EC0"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Basalt</w:t>
            </w:r>
          </w:p>
        </w:tc>
        <w:tc>
          <w:tcPr>
            <w:tcW w:w="1842" w:type="dxa"/>
            <w:tcBorders>
              <w:top w:val="single" w:sz="8" w:space="0" w:color="auto"/>
            </w:tcBorders>
          </w:tcPr>
          <w:p w14:paraId="30610158" w14:textId="6FB2CECF" w:rsidR="004B6548"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498" w:type="dxa"/>
            <w:vMerge w:val="restart"/>
            <w:tcBorders>
              <w:top w:val="single" w:sz="8" w:space="0" w:color="auto"/>
            </w:tcBorders>
          </w:tcPr>
          <w:p w14:paraId="601507B1" w14:textId="77569E88"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Fig</w:t>
            </w:r>
            <w:r w:rsidR="00370488" w:rsidRPr="007C6C48">
              <w:rPr>
                <w:rFonts w:ascii="Roboto" w:hAnsi="Roboto"/>
                <w:color w:val="000000" w:themeColor="text1"/>
              </w:rPr>
              <w:t>ure</w:t>
            </w:r>
            <w:r w:rsidRPr="007C6C48">
              <w:rPr>
                <w:rFonts w:ascii="Roboto" w:hAnsi="Roboto"/>
                <w:color w:val="000000" w:themeColor="text1"/>
              </w:rPr>
              <w:t xml:space="preserve"> S6 from</w:t>
            </w:r>
            <w:r w:rsidRPr="007C6C48">
              <w:rPr>
                <w:rFonts w:ascii="Roboto" w:hAnsi="Roboto"/>
                <w:color w:val="4472C4" w:themeColor="accent1"/>
              </w:rPr>
              <w:t xml:space="preserve">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(2024b)","plainTextFormattedCitation":"(Hughes et al., 2024)","previouslyFormattedCitation":"(Hughes et al., 2024b)"},"properties":{"noteIndex":0},"schema":"https://github.com/citation-style-language/schema/raw/master/csl-citation.json"}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Hughes et al. (2024b)</w:t>
            </w:r>
            <w:r w:rsidRPr="007C6C48">
              <w:rPr>
                <w:rFonts w:ascii="Roboto" w:hAnsi="Roboto"/>
                <w:color w:val="000000" w:themeColor="text1"/>
              </w:rPr>
              <w:fldChar w:fldCharType="end"/>
            </w:r>
            <w:r w:rsidRPr="007C6C48">
              <w:rPr>
                <w:rFonts w:ascii="Roboto" w:hAnsi="Roboto"/>
                <w:color w:val="000000" w:themeColor="text1"/>
              </w:rPr>
              <w:t xml:space="preserve"> based on data from</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{"citationItems":[{"id":"ITEM-1","itemData":{"DOI":"10.1016/J.CHEMGEO.2015.03.025","ISSN":"0009-2541","abstract":"Experiments were performed to determine the sulfur solubilities of hydrous basalts from Vesuvius, Etna and Stromboli (Italy). The melts were equilibrated at 1050 and 1200°C with H2O and sulfur (added as pyrrhotite), and at pressures ranging from 250 to 2000bar. Most experiments were performed under oxidising conditions (NNO+2), and a few under reducing conditions (NNO−1), with melt water contents of 0.5–3.5wt.%. Sulfur contents in glasses were determined by electron microprobe and range from 860 up to 6700ppm. No compositional effect is found between the three alkali basaltic melts. The fugacities of S-bearing species were derived using an MRK equation of state applied to an O–H–S fluid, knowing H2 and H2O fugacities, and range from 50 up to 3000bar. A thermodynamic species-based model is derived from our results along with available data in the literature, assuming that sulfur dissolution results from the additive contributions of both H2S and SO2 dissolution reactions. Compared to similar models developed for silicic melts, basalt compositions requires the incorporation of an Fe term, which accounts for the strong association between Fe and S in silicate melts, and considers the elevated Fe content of mafic melts. The model shows that, at any fixed fS2, the sulfur solubility in hydrous basalt displays a pronounced minimum around NNO, the position of which depends on temperature. The minimum in sulfur solubility coincides with the redox range were the abundance of S2 in the fluid reaches its maximum compared to either H2S or SO2 species. Such a minimum in solubility is in agreement with experimental constraints at 1bar under carefully controlled fO2 and fS2. Calculated proportions of dissolved species in the melt depend on the prevailing fS2 and fO2, being in general agreement with available spectroscopic models. Calculations of gas saturation pressures, which classically consider only H2O and CO2 dissolved volatiles, are strongly affected by S-bearing species. At fO2 close to, or higher than, NNO+1, omission of sulfur species may result in underestimates of gas saturation pressures of 1kbar or more. The same happens at fO2 below NNO−1.","author":[{"dropping-particle":"","family":"Lesne","given":"Priscille","non-dropping-particle":"","parse-names":false,"suffix":""},{"dropping-particle":"","family":"Scaillet","given":"Bruno","non-dropping-particle":"","parse-names":false,"suffix":""},{"dropping-particle":"","family":"Pichavant","given":"Michel","non-dropping-particle":"","parse-names":false,"suffix":""}],"container-title":"Chemical Geology","id":"ITEM-1","issued":{"date-parts":[["2015","12","15"]]},"page":"104-116","publisher":"Elsevier","title":"The solubility of sulfur in hydrous basaltic melts","type":"article-journal","volume":"418"},"uris":["http://www.mendeley.com/documents/?uuid=8b5c3418-59ee-31b8-bbf9-6889a5f15dfc"]},{"id":"ITEM-2","itemData":{"DOI":"10.1007/s00410-008-0359-0","ISSN":"0010-7999","abstract":"The solubility of sulphur in sulphide-saturated, H2O-bearing basaltic–andesitic and basaltic melts from Hekla volcano (Iceland) has been determined experimentally at 1,050°C, 300 and 200 MPa, and redox conditions with oxygen fugacity (logfO2) between QFM−1.2 and QFM+1.1 (QFM is a quartz–fayalite–magnetite oxygen buffer) in the systems containing various amounts of S and H2O. The S content of the H2O-rich glasses saturated with pyrrhotite decreases from 2,500 ppm in basalt to 1,500 ppm in basaltic andesite at the investigated conditions. Furthermore, the reduction of water content in the melt at pyrrhotite saturation and fixed T, P and redox conditions leads to a decrease in S concentration from 2,500 to 1,400 ppm for basaltic experiments (for H2O decrease from 7.8 to 1.4 wt%) and from 1,500 to 900 ppm (for H2O decrease from 6.7 to 1.7 wt%) for basaltic andesitic experiments. Our experimental data, combined with silicate melt inclusion investigations and the available models on sulphide saturation in mafic magmas, indicate that the parental basaltic melts of Hekla were not saturated with respect to sulphide. During magmatic differentiation, the S content in the residual melts increased and might have reached sulphide saturation with 2,500 ppm dissolved S. With further magma crystallization, the S concentration in the melt was controlled by the sulphide saturation of the magma, decreasing from ~2,500 to 900 ppm S.","author":[{"dropping-particle":"","family":"Moune","given":"Séverine","non-dropping-particle":"","parse-names":false,"suffix":""},{"dropping-particle":"","family":"Holtz","given":"François","non-dropping-particle":"","parse-names":false,"suffix":""},{"dropping-particle":"","family":"Botcharnikov","given":"Roman E.","non-dropping-particle":"","parse-names":false,"suffix":""}],"container-title":"Contributions to Mineralogy and Petrology","id":"ITEM-2","issue":"6","issued":{"date-parts":[["2009","6","2"]]},"page":"691-707","publisher":"Springer","title":"Sulphur solubility in andesitic to basaltic melts: implications for Hekla volcano","type":"article-journal","volume":"157"},"uris":["http://www.mendeley.com/documents/?uuid=d9f9a41a-1ffd-37d0-a592-3ef96a69d592"]}],"mendeley":{"formattedCitation":"(Lesne et al., 2015; Moune et al., 2009)","manualFormatting":"Lesne et al. (2015) and Moune et al. (2009)","plainTextFormattedCitation":"(Lesne et al., 2015; Moune et al., 2009)","previouslyFormattedCitation":"(Lesne et al., 2015; Moune et al., 2009)"},"properties":{"noteIndex":0},"schema":"https://github.com/citation-style-language/schema/raw/master/csl-citation.json"}</w:instrText>
            </w:r>
            <w:r w:rsidRPr="007C6C48">
              <w:rPr>
                <w:rFonts w:ascii="Roboto" w:hAnsi="Roboto"/>
              </w:rPr>
              <w:fldChar w:fldCharType="separate"/>
            </w:r>
            <w:r w:rsidRPr="007C6C48">
              <w:rPr>
                <w:rFonts w:ascii="Roboto" w:hAnsi="Roboto"/>
                <w:noProof/>
              </w:rPr>
              <w:t>Lesne et al. (2015) and Moune et al. (2009)</w:t>
            </w:r>
            <w:r w:rsidRPr="007C6C48">
              <w:rPr>
                <w:rFonts w:ascii="Roboto" w:hAnsi="Roboto"/>
              </w:rPr>
              <w:fldChar w:fldCharType="end"/>
            </w:r>
          </w:p>
        </w:tc>
      </w:tr>
      <w:tr w:rsidR="004B6548" w:rsidRPr="007C6C48" w14:paraId="7DC853E8" w14:textId="77777777" w:rsidTr="00B45276">
        <w:tc>
          <w:tcPr>
            <w:tcW w:w="1136" w:type="dxa"/>
            <w:tcBorders>
              <w:bottom w:val="single" w:sz="8" w:space="0" w:color="auto"/>
            </w:tcBorders>
          </w:tcPr>
          <w:p w14:paraId="02198110"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Borders>
              <w:bottom w:val="single" w:sz="8" w:space="0" w:color="auto"/>
            </w:tcBorders>
          </w:tcPr>
          <w:p w14:paraId="2778EEA6"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1050</w:t>
            </w:r>
          </w:p>
        </w:tc>
        <w:tc>
          <w:tcPr>
            <w:tcW w:w="960" w:type="dxa"/>
            <w:tcBorders>
              <w:bottom w:val="single" w:sz="8" w:space="0" w:color="auto"/>
            </w:tcBorders>
          </w:tcPr>
          <w:p w14:paraId="656813BF" w14:textId="77777777" w:rsidR="004B6548" w:rsidRPr="007C6C48" w:rsidRDefault="004B6548" w:rsidP="00B061FC">
            <w:pPr>
              <w:pStyle w:val="NoSpacing"/>
              <w:spacing w:after="0"/>
              <w:jc w:val="right"/>
              <w:rPr>
                <w:rFonts w:ascii="Roboto" w:hAnsi="Roboto"/>
                <w:color w:val="000000" w:themeColor="text1"/>
              </w:rPr>
            </w:pPr>
            <w:r w:rsidRPr="007C6C48">
              <w:rPr>
                <w:rFonts w:ascii="Roboto" w:hAnsi="Roboto"/>
                <w:color w:val="000000" w:themeColor="text1"/>
              </w:rPr>
              <w:t>2040–3040</w:t>
            </w:r>
          </w:p>
        </w:tc>
        <w:tc>
          <w:tcPr>
            <w:tcW w:w="1707" w:type="dxa"/>
            <w:tcBorders>
              <w:bottom w:val="single" w:sz="8" w:space="0" w:color="auto"/>
            </w:tcBorders>
          </w:tcPr>
          <w:p w14:paraId="64CA7521"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Basaltic andesite</w:t>
            </w:r>
          </w:p>
        </w:tc>
        <w:tc>
          <w:tcPr>
            <w:tcW w:w="1842" w:type="dxa"/>
            <w:tcBorders>
              <w:bottom w:val="single" w:sz="8" w:space="0" w:color="auto"/>
            </w:tcBorders>
          </w:tcPr>
          <w:p w14:paraId="28C4318C" w14:textId="7B51A4DC" w:rsidR="004B6548" w:rsidRPr="007C6C48" w:rsidRDefault="00AF3633" w:rsidP="00B061FC">
            <w:pPr>
              <w:pStyle w:val="NoSpacing"/>
              <w:spacing w:after="0"/>
              <w:rPr>
                <w:rFonts w:ascii="Roboto" w:hAnsi="Roboto"/>
                <w:color w:val="FF0000"/>
              </w:rPr>
            </w:pPr>
            <w:r w:rsidRPr="007C6C48">
              <w:rPr>
                <w:rFonts w:ascii="Roboto" w:hAnsi="Roboto"/>
                <w:color w:val="000000" w:themeColor="text1"/>
              </w:rPr>
              <w:t>Matches stated constant value</w:t>
            </w:r>
          </w:p>
        </w:tc>
        <w:tc>
          <w:tcPr>
            <w:tcW w:w="2498" w:type="dxa"/>
            <w:vMerge/>
            <w:tcBorders>
              <w:bottom w:val="single" w:sz="8" w:space="0" w:color="auto"/>
            </w:tcBorders>
          </w:tcPr>
          <w:p w14:paraId="45FC5EA9" w14:textId="147D5F78" w:rsidR="004B6548" w:rsidRPr="007C6C48" w:rsidRDefault="004B6548" w:rsidP="00B061FC">
            <w:pPr>
              <w:pStyle w:val="NoSpacing"/>
              <w:spacing w:after="0"/>
              <w:rPr>
                <w:rFonts w:ascii="Roboto" w:hAnsi="Roboto"/>
                <w:color w:val="FF0000"/>
              </w:rPr>
            </w:pPr>
          </w:p>
        </w:tc>
      </w:tr>
      <w:tr w:rsidR="004B6548" w:rsidRPr="007C6C48" w14:paraId="23CEEC13" w14:textId="77777777" w:rsidTr="00025882">
        <w:tc>
          <w:tcPr>
            <w:tcW w:w="9016" w:type="dxa"/>
            <w:gridSpan w:val="6"/>
            <w:tcBorders>
              <w:top w:val="single" w:sz="8" w:space="0" w:color="auto"/>
            </w:tcBorders>
            <w:shd w:val="clear" w:color="auto" w:fill="E7E6E6" w:themeFill="background2"/>
          </w:tcPr>
          <w:p w14:paraId="0947D54F" w14:textId="09AD8F1F"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“X”</w:t>
            </w:r>
          </w:p>
        </w:tc>
      </w:tr>
      <w:tr w:rsidR="004B6548" w:rsidRPr="007C6C48" w14:paraId="1976917F" w14:textId="77777777" w:rsidTr="00B45276">
        <w:tc>
          <w:tcPr>
            <w:tcW w:w="1136" w:type="dxa"/>
            <w:tcBorders>
              <w:top w:val="single" w:sz="8" w:space="0" w:color="auto"/>
            </w:tcBorders>
          </w:tcPr>
          <w:p w14:paraId="54436D77"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Borders>
              <w:top w:val="single" w:sz="8" w:space="0" w:color="auto"/>
            </w:tcBorders>
          </w:tcPr>
          <w:p w14:paraId="39CB62E5"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1200</w:t>
            </w:r>
          </w:p>
        </w:tc>
        <w:tc>
          <w:tcPr>
            <w:tcW w:w="960" w:type="dxa"/>
            <w:tcBorders>
              <w:top w:val="single" w:sz="8" w:space="0" w:color="auto"/>
            </w:tcBorders>
          </w:tcPr>
          <w:p w14:paraId="4A9DBDE9"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49–308</w:t>
            </w:r>
            <w:r w:rsidRPr="007C6C48">
              <w:rPr>
                <w:rFonts w:ascii="Roboto" w:hAnsi="Roboto"/>
                <w:color w:val="FF0000"/>
              </w:rPr>
              <w:t xml:space="preserve"> </w:t>
            </w:r>
          </w:p>
        </w:tc>
        <w:tc>
          <w:tcPr>
            <w:tcW w:w="1707" w:type="dxa"/>
            <w:tcBorders>
              <w:top w:val="single" w:sz="8" w:space="0" w:color="auto"/>
            </w:tcBorders>
          </w:tcPr>
          <w:p w14:paraId="208B81DE"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Ar in basalt</w:t>
            </w:r>
          </w:p>
        </w:tc>
        <w:tc>
          <w:tcPr>
            <w:tcW w:w="1842" w:type="dxa"/>
            <w:tcBorders>
              <w:top w:val="single" w:sz="8" w:space="0" w:color="auto"/>
            </w:tcBorders>
          </w:tcPr>
          <w:p w14:paraId="258089D0" w14:textId="531FCCDE" w:rsidR="004B6548"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498" w:type="dxa"/>
            <w:tcBorders>
              <w:top w:val="single" w:sz="8" w:space="0" w:color="auto"/>
            </w:tcBorders>
          </w:tcPr>
          <w:p w14:paraId="2301DC8B" w14:textId="510CC7C2" w:rsidR="004B6548" w:rsidRPr="007C6C48" w:rsidRDefault="00370488" w:rsidP="00B061FC">
            <w:pPr>
              <w:pStyle w:val="NoSpacing"/>
              <w:spacing w:after="0"/>
              <w:rPr>
                <w:rFonts w:ascii="Roboto" w:hAnsi="Roboto"/>
                <w:color w:val="000000" w:themeColor="text1"/>
              </w:rPr>
            </w:pPr>
            <w:r w:rsidRPr="007C6C48">
              <w:rPr>
                <w:rFonts w:ascii="Roboto" w:hAnsi="Roboto"/>
                <w:color w:val="000000" w:themeColor="text1"/>
              </w:rPr>
              <w:t>Eq. (S2)</w:t>
            </w:r>
            <w:r w:rsidR="004B6548" w:rsidRPr="007C6C48">
              <w:rPr>
                <w:rFonts w:ascii="Roboto" w:hAnsi="Roboto"/>
                <w:color w:val="000000" w:themeColor="text1"/>
              </w:rPr>
              <w:t xml:space="preserve">, based on data from </w:t>
            </w:r>
            <w:r w:rsidR="004B6548" w:rsidRPr="007C6C48">
              <w:rPr>
                <w:rFonts w:ascii="Roboto" w:hAnsi="Roboto"/>
                <w:color w:val="000000" w:themeColor="text1"/>
              </w:rPr>
              <w:fldChar w:fldCharType="begin" w:fldLock="1"/>
            </w:r>
            <w:r w:rsidR="004B6548" w:rsidRPr="007C6C48">
              <w:rPr>
                <w:rFonts w:ascii="Roboto" w:hAnsi="Roboto"/>
                <w:color w:val="000000" w:themeColor="text1"/>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004B6548" w:rsidRPr="007C6C48">
              <w:rPr>
                <w:rFonts w:ascii="Roboto" w:hAnsi="Roboto"/>
                <w:color w:val="000000" w:themeColor="text1"/>
              </w:rPr>
              <w:fldChar w:fldCharType="separate"/>
            </w:r>
            <w:r w:rsidR="004B6548" w:rsidRPr="007C6C48">
              <w:rPr>
                <w:rFonts w:ascii="Roboto" w:hAnsi="Roboto"/>
                <w:noProof/>
                <w:color w:val="000000" w:themeColor="text1"/>
              </w:rPr>
              <w:t>Iacono-Marziano et al. (2010)</w:t>
            </w:r>
            <w:r w:rsidR="004B6548" w:rsidRPr="007C6C48">
              <w:rPr>
                <w:rFonts w:ascii="Roboto" w:hAnsi="Roboto"/>
                <w:color w:val="000000" w:themeColor="text1"/>
              </w:rPr>
              <w:fldChar w:fldCharType="end"/>
            </w:r>
          </w:p>
        </w:tc>
      </w:tr>
      <w:tr w:rsidR="004B6548" w:rsidRPr="007C6C48" w14:paraId="0437B8A0" w14:textId="77777777" w:rsidTr="00B45276">
        <w:tc>
          <w:tcPr>
            <w:tcW w:w="1136" w:type="dxa"/>
          </w:tcPr>
          <w:p w14:paraId="74B8762C"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Pr>
          <w:p w14:paraId="639A694C"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1200</w:t>
            </w:r>
          </w:p>
        </w:tc>
        <w:tc>
          <w:tcPr>
            <w:tcW w:w="960" w:type="dxa"/>
          </w:tcPr>
          <w:p w14:paraId="35C6776E"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104–360</w:t>
            </w:r>
          </w:p>
        </w:tc>
        <w:tc>
          <w:tcPr>
            <w:tcW w:w="1707" w:type="dxa"/>
          </w:tcPr>
          <w:p w14:paraId="19E0833E"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Ar in rhyolite</w:t>
            </w:r>
          </w:p>
        </w:tc>
        <w:tc>
          <w:tcPr>
            <w:tcW w:w="1842" w:type="dxa"/>
          </w:tcPr>
          <w:p w14:paraId="0D734AED" w14:textId="626CCC22" w:rsidR="004B6548"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498" w:type="dxa"/>
          </w:tcPr>
          <w:p w14:paraId="5517918D" w14:textId="72583D28" w:rsidR="004B6548" w:rsidRPr="007C6C48" w:rsidRDefault="00370488" w:rsidP="00B061FC">
            <w:pPr>
              <w:pStyle w:val="NoSpacing"/>
              <w:spacing w:after="0"/>
              <w:rPr>
                <w:rFonts w:ascii="Roboto" w:hAnsi="Roboto"/>
                <w:color w:val="FF0000"/>
              </w:rPr>
            </w:pPr>
            <w:r w:rsidRPr="007C6C48">
              <w:rPr>
                <w:rFonts w:ascii="Roboto" w:hAnsi="Roboto"/>
                <w:color w:val="000000" w:themeColor="text1"/>
              </w:rPr>
              <w:t>Eq. (S3)</w:t>
            </w:r>
            <w:r w:rsidR="004B6548" w:rsidRPr="007C6C48">
              <w:rPr>
                <w:rFonts w:ascii="Roboto" w:hAnsi="Roboto"/>
                <w:color w:val="000000" w:themeColor="text1"/>
              </w:rPr>
              <w:t xml:space="preserve">, based on data from </w:t>
            </w:r>
            <w:r w:rsidR="004B6548" w:rsidRPr="007C6C48">
              <w:rPr>
                <w:rFonts w:ascii="Roboto" w:hAnsi="Roboto"/>
                <w:color w:val="000000" w:themeColor="text1"/>
              </w:rPr>
              <w:fldChar w:fldCharType="begin" w:fldLock="1"/>
            </w:r>
            <w:r w:rsidR="004B6548" w:rsidRPr="007C6C48">
              <w:rPr>
                <w:rFonts w:ascii="Roboto" w:hAnsi="Roboto"/>
                <w:color w:val="000000" w:themeColor="text1"/>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004B6548" w:rsidRPr="007C6C48">
              <w:rPr>
                <w:rFonts w:ascii="Roboto" w:hAnsi="Roboto"/>
                <w:color w:val="000000" w:themeColor="text1"/>
              </w:rPr>
              <w:fldChar w:fldCharType="separate"/>
            </w:r>
            <w:r w:rsidR="004B6548" w:rsidRPr="007C6C48">
              <w:rPr>
                <w:rFonts w:ascii="Roboto" w:hAnsi="Roboto"/>
                <w:noProof/>
                <w:color w:val="000000" w:themeColor="text1"/>
              </w:rPr>
              <w:t>Iacono-Marziano et al. (2010)</w:t>
            </w:r>
            <w:r w:rsidR="004B6548" w:rsidRPr="007C6C48">
              <w:rPr>
                <w:rFonts w:ascii="Roboto" w:hAnsi="Roboto"/>
                <w:color w:val="000000" w:themeColor="text1"/>
              </w:rPr>
              <w:fldChar w:fldCharType="end"/>
            </w:r>
          </w:p>
        </w:tc>
      </w:tr>
      <w:tr w:rsidR="004B6548" w:rsidRPr="007C6C48" w14:paraId="1F0953F2" w14:textId="77777777" w:rsidTr="00B45276">
        <w:tc>
          <w:tcPr>
            <w:tcW w:w="1136" w:type="dxa"/>
          </w:tcPr>
          <w:p w14:paraId="68B282E7"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Pr>
          <w:p w14:paraId="2354BB46"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1200</w:t>
            </w:r>
          </w:p>
        </w:tc>
        <w:tc>
          <w:tcPr>
            <w:tcW w:w="960" w:type="dxa"/>
          </w:tcPr>
          <w:p w14:paraId="04A140BA"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68–296</w:t>
            </w:r>
          </w:p>
        </w:tc>
        <w:tc>
          <w:tcPr>
            <w:tcW w:w="1707" w:type="dxa"/>
          </w:tcPr>
          <w:p w14:paraId="393CE04F"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Ne in basalt</w:t>
            </w:r>
          </w:p>
        </w:tc>
        <w:tc>
          <w:tcPr>
            <w:tcW w:w="1842" w:type="dxa"/>
          </w:tcPr>
          <w:p w14:paraId="0765292A" w14:textId="29A460C4" w:rsidR="004B6548"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498" w:type="dxa"/>
          </w:tcPr>
          <w:p w14:paraId="6F760E23" w14:textId="3E2F2603" w:rsidR="004B6548" w:rsidRPr="007C6C48" w:rsidRDefault="00370488" w:rsidP="00B061FC">
            <w:pPr>
              <w:pStyle w:val="NoSpacing"/>
              <w:spacing w:after="0"/>
              <w:rPr>
                <w:rFonts w:ascii="Roboto" w:hAnsi="Roboto"/>
                <w:color w:val="FF0000"/>
              </w:rPr>
            </w:pPr>
            <w:r w:rsidRPr="007C6C48">
              <w:rPr>
                <w:rFonts w:ascii="Roboto" w:hAnsi="Roboto"/>
                <w:color w:val="000000" w:themeColor="text1"/>
              </w:rPr>
              <w:t>Eq. (S4)</w:t>
            </w:r>
            <w:r w:rsidR="004B6548" w:rsidRPr="007C6C48">
              <w:rPr>
                <w:rFonts w:ascii="Roboto" w:hAnsi="Roboto"/>
                <w:color w:val="000000" w:themeColor="text1"/>
              </w:rPr>
              <w:t xml:space="preserve">, based on data from </w:t>
            </w:r>
            <w:r w:rsidR="004B6548" w:rsidRPr="007C6C48">
              <w:rPr>
                <w:rFonts w:ascii="Roboto" w:hAnsi="Roboto"/>
                <w:color w:val="000000" w:themeColor="text1"/>
              </w:rPr>
              <w:fldChar w:fldCharType="begin" w:fldLock="1"/>
            </w:r>
            <w:r w:rsidR="004B6548" w:rsidRPr="007C6C48">
              <w:rPr>
                <w:rFonts w:ascii="Roboto" w:hAnsi="Roboto"/>
                <w:color w:val="000000" w:themeColor="text1"/>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004B6548" w:rsidRPr="007C6C48">
              <w:rPr>
                <w:rFonts w:ascii="Roboto" w:hAnsi="Roboto"/>
                <w:color w:val="000000" w:themeColor="text1"/>
              </w:rPr>
              <w:fldChar w:fldCharType="separate"/>
            </w:r>
            <w:r w:rsidR="004B6548" w:rsidRPr="007C6C48">
              <w:rPr>
                <w:rFonts w:ascii="Roboto" w:hAnsi="Roboto"/>
                <w:noProof/>
                <w:color w:val="000000" w:themeColor="text1"/>
              </w:rPr>
              <w:t>Iacono-Marziano et al. (2010)</w:t>
            </w:r>
            <w:r w:rsidR="004B6548" w:rsidRPr="007C6C48">
              <w:rPr>
                <w:rFonts w:ascii="Roboto" w:hAnsi="Roboto"/>
                <w:color w:val="000000" w:themeColor="text1"/>
              </w:rPr>
              <w:fldChar w:fldCharType="end"/>
            </w:r>
          </w:p>
        </w:tc>
      </w:tr>
      <w:tr w:rsidR="004B6548" w:rsidRPr="007C6C48" w14:paraId="69DA50C2" w14:textId="77777777" w:rsidTr="00B45276">
        <w:tc>
          <w:tcPr>
            <w:tcW w:w="1136" w:type="dxa"/>
            <w:tcBorders>
              <w:bottom w:val="single" w:sz="8" w:space="0" w:color="auto"/>
            </w:tcBorders>
          </w:tcPr>
          <w:p w14:paraId="43E62EE0"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Constant</w:t>
            </w:r>
          </w:p>
        </w:tc>
        <w:tc>
          <w:tcPr>
            <w:tcW w:w="873" w:type="dxa"/>
            <w:tcBorders>
              <w:bottom w:val="single" w:sz="8" w:space="0" w:color="auto"/>
            </w:tcBorders>
          </w:tcPr>
          <w:p w14:paraId="70A1178C"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1200</w:t>
            </w:r>
          </w:p>
        </w:tc>
        <w:tc>
          <w:tcPr>
            <w:tcW w:w="960" w:type="dxa"/>
            <w:tcBorders>
              <w:bottom w:val="single" w:sz="8" w:space="0" w:color="auto"/>
            </w:tcBorders>
          </w:tcPr>
          <w:p w14:paraId="6F113D55" w14:textId="77777777" w:rsidR="004B6548" w:rsidRPr="007C6C48" w:rsidRDefault="004B6548" w:rsidP="00B061FC">
            <w:pPr>
              <w:pStyle w:val="NoSpacing"/>
              <w:spacing w:after="0"/>
              <w:jc w:val="right"/>
              <w:rPr>
                <w:rFonts w:ascii="Roboto" w:hAnsi="Roboto"/>
                <w:color w:val="FF0000"/>
              </w:rPr>
            </w:pPr>
            <w:r w:rsidRPr="007C6C48">
              <w:rPr>
                <w:rFonts w:ascii="Roboto" w:hAnsi="Roboto"/>
                <w:color w:val="000000" w:themeColor="text1"/>
              </w:rPr>
              <w:t>100–299</w:t>
            </w:r>
          </w:p>
        </w:tc>
        <w:tc>
          <w:tcPr>
            <w:tcW w:w="1707" w:type="dxa"/>
            <w:tcBorders>
              <w:bottom w:val="single" w:sz="8" w:space="0" w:color="auto"/>
            </w:tcBorders>
          </w:tcPr>
          <w:p w14:paraId="036AE03E" w14:textId="77777777" w:rsidR="004B6548" w:rsidRPr="007C6C48" w:rsidRDefault="004B6548" w:rsidP="00B061FC">
            <w:pPr>
              <w:pStyle w:val="NoSpacing"/>
              <w:spacing w:after="0"/>
              <w:rPr>
                <w:rFonts w:ascii="Roboto" w:hAnsi="Roboto"/>
                <w:color w:val="000000" w:themeColor="text1"/>
              </w:rPr>
            </w:pPr>
            <w:r w:rsidRPr="007C6C48">
              <w:rPr>
                <w:rFonts w:ascii="Roboto" w:hAnsi="Roboto"/>
                <w:color w:val="000000" w:themeColor="text1"/>
              </w:rPr>
              <w:t>Ne in rhyolite</w:t>
            </w:r>
          </w:p>
        </w:tc>
        <w:tc>
          <w:tcPr>
            <w:tcW w:w="1842" w:type="dxa"/>
            <w:tcBorders>
              <w:bottom w:val="single" w:sz="8" w:space="0" w:color="auto"/>
            </w:tcBorders>
          </w:tcPr>
          <w:p w14:paraId="56EB7B2D" w14:textId="41BA26F1" w:rsidR="004B6548" w:rsidRPr="007C6C48" w:rsidRDefault="00AF3633" w:rsidP="00B061FC">
            <w:pPr>
              <w:pStyle w:val="NoSpacing"/>
              <w:spacing w:after="0"/>
              <w:rPr>
                <w:rFonts w:ascii="Roboto" w:hAnsi="Roboto"/>
                <w:color w:val="000000" w:themeColor="text1"/>
              </w:rPr>
            </w:pPr>
            <w:r w:rsidRPr="007C6C48">
              <w:rPr>
                <w:rFonts w:ascii="Roboto" w:hAnsi="Roboto"/>
                <w:color w:val="000000" w:themeColor="text1"/>
              </w:rPr>
              <w:t>Matches stated constant value</w:t>
            </w:r>
          </w:p>
        </w:tc>
        <w:tc>
          <w:tcPr>
            <w:tcW w:w="2498" w:type="dxa"/>
            <w:tcBorders>
              <w:bottom w:val="single" w:sz="8" w:space="0" w:color="auto"/>
            </w:tcBorders>
          </w:tcPr>
          <w:p w14:paraId="36294F77" w14:textId="31D20BF2" w:rsidR="004B6548" w:rsidRPr="007C6C48" w:rsidRDefault="00370488" w:rsidP="00B061FC">
            <w:pPr>
              <w:pStyle w:val="NoSpacing"/>
              <w:spacing w:after="0"/>
              <w:rPr>
                <w:rFonts w:ascii="Roboto" w:hAnsi="Roboto"/>
                <w:color w:val="FF0000"/>
              </w:rPr>
            </w:pPr>
            <w:r w:rsidRPr="007C6C48">
              <w:rPr>
                <w:rFonts w:ascii="Roboto" w:hAnsi="Roboto"/>
                <w:color w:val="000000" w:themeColor="text1"/>
              </w:rPr>
              <w:t>Eq. (S5)</w:t>
            </w:r>
            <w:r w:rsidR="004B6548" w:rsidRPr="007C6C48">
              <w:rPr>
                <w:rFonts w:ascii="Roboto" w:hAnsi="Roboto"/>
                <w:color w:val="000000" w:themeColor="text1"/>
              </w:rPr>
              <w:t xml:space="preserve">, based on data from </w:t>
            </w:r>
            <w:r w:rsidR="004B6548" w:rsidRPr="007C6C48">
              <w:rPr>
                <w:rFonts w:ascii="Roboto" w:hAnsi="Roboto"/>
                <w:color w:val="000000" w:themeColor="text1"/>
              </w:rPr>
              <w:fldChar w:fldCharType="begin" w:fldLock="1"/>
            </w:r>
            <w:r w:rsidR="004B6548" w:rsidRPr="007C6C48">
              <w:rPr>
                <w:rFonts w:ascii="Roboto" w:hAnsi="Roboto"/>
                <w:color w:val="000000" w:themeColor="text1"/>
              </w:rPr>
              <w:instrText>ADDIN CSL_CITATION {"citationItems":[{"id":"ITEM-1","itemData":{"DOI":"10.1016/J.CHEMGEO.2010.10.017","ISSN":"0009-2541","abstract":"New experimental data of Ar and Ne solubility at pressures up to 360MPa in alkali-basaltic (Mt. Etna, Italy) and rhyolitic (Vulcano Island, Italy) melts are presented. Solubility experiments have been conducted in internally heated pressure vessels at 1200°C under nominally anhydrous conditions. Ar and Ne contents dissolved in the experimental glasses were then measured by quadrupole mass spectrometry. Over the pressure range investigated, Ar and Ne solubilities vary linearly with Ar and Ne pressures and can be described by Henry's constant (kAr,Ne=PAr, Ne/xAr, Ne, where PAr, Ne is the partial pressure of Ar or Ne and xAr, Ne is the molar fraction of Ar or Ne in the melt) of 7.6±0.8×105 and 1.9±0.4×105MPa, respectively for Ar and Ne in the basaltic melt and 1.5±0.2×105 and 3.8±0.2×104MPa, respectively for Ar and Ne in the rhyolitic melt. In accordance with existing models, rhyolitic melts show higher noble gas solubilities than basaltic melts, Ne solubility being higher than that of Ar in a given composition. We propose a semi-empirical model of noble gas (Ar, Ne and He) solubility calibrated on a very large set of measurements in natural and synthetic silicate melts. The model expands the concept of ionic porosity in terms of porosity accessible for noble gas dissolution in melt, taking into account the large-scale structural effects of cations, as well as temperature and pressure. The model is valid over a wide range of temperatures (800-1600*deg;C), pressures (up to 3GPa) and compositions, being useful for both geological and physico-chemical studies. © 2010 Elsevier B.V.","author":[{"dropping-particle":"","family":"Iacono-Marziano","given":"Giada","non-dropping-particle":"","parse-names":false,"suffix":""},{"dropping-particle":"","family":"Paonita","given":"Antonio","non-dropping-particle":"","parse-names":false,"suffix":""},{"dropping-particle":"","family":"Rizzo","given":"Andrea","non-dropping-particle":"","parse-names":false,"suffix":""},{"dropping-particle":"","family":"Scaillet","given":"Bruno","non-dropping-particle":"","parse-names":false,"suffix":""},{"dropping-particle":"","family":"Gaillard","given":"Fabrice","non-dropping-particle":"","parse-names":false,"suffix":""}],"container-title":"Chemical Geology","id":"ITEM-1","issue":"3-4","issued":{"date-parts":[["2010","12","13"]]},"page":"145-157","publisher":"Elsevier","title":"Noble gas solubilities in silicate melts: New experimental results and a comprehensive model of the effects of liquid composition, temperature and pressure","type":"article-journal","volume":"279"},"uris":["http://www.mendeley.com/documents/?uuid=a59b04bd-0263-3e55-83e7-8b5c014f9346"]}],"mendeley":{"formattedCitation":"(Iacono-Marziano et al., 2010)","manualFormatting":"Iacono-Marziano et al. (2010)","plainTextFormattedCitation":"(Iacono-Marziano et al., 2010)","previouslyFormattedCitation":"(Iacono-Marziano et al., 2010)"},"properties":{"noteIndex":0},"schema":"https://github.com/citation-style-language/schema/raw/master/csl-citation.json"}</w:instrText>
            </w:r>
            <w:r w:rsidR="004B6548" w:rsidRPr="007C6C48">
              <w:rPr>
                <w:rFonts w:ascii="Roboto" w:hAnsi="Roboto"/>
                <w:color w:val="000000" w:themeColor="text1"/>
              </w:rPr>
              <w:fldChar w:fldCharType="separate"/>
            </w:r>
            <w:r w:rsidR="004B6548" w:rsidRPr="007C6C48">
              <w:rPr>
                <w:rFonts w:ascii="Roboto" w:hAnsi="Roboto"/>
                <w:noProof/>
                <w:color w:val="000000" w:themeColor="text1"/>
              </w:rPr>
              <w:t>Iacono-Marziano et al. (2010)</w:t>
            </w:r>
            <w:r w:rsidR="004B6548" w:rsidRPr="007C6C48">
              <w:rPr>
                <w:rFonts w:ascii="Roboto" w:hAnsi="Roboto"/>
                <w:color w:val="000000" w:themeColor="text1"/>
              </w:rPr>
              <w:fldChar w:fldCharType="end"/>
            </w:r>
          </w:p>
        </w:tc>
      </w:tr>
    </w:tbl>
    <w:p w14:paraId="77591C15" w14:textId="77777777" w:rsidR="0016716F" w:rsidRPr="007C6C48" w:rsidRDefault="0016716F" w:rsidP="0016716F">
      <w:pPr>
        <w:rPr>
          <w:rFonts w:ascii="Roboto" w:hAnsi="Roboto"/>
          <w:highlight w:val="yellow"/>
        </w:rPr>
      </w:pPr>
    </w:p>
    <w:p w14:paraId="30974A44" w14:textId="73366547" w:rsidR="0016716F" w:rsidRPr="007C6C48" w:rsidRDefault="0016716F" w:rsidP="0016716F">
      <w:pPr>
        <w:pStyle w:val="NoSpacing"/>
        <w:spacing w:after="0"/>
        <w:rPr>
          <w:rFonts w:ascii="Roboto" w:hAnsi="Roboto"/>
        </w:rPr>
      </w:pPr>
      <w:bookmarkStart w:id="12" w:name="_Ref152014271"/>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9</w:t>
      </w:r>
      <w:r w:rsidR="006A647B" w:rsidRPr="007C6C48">
        <w:rPr>
          <w:rFonts w:ascii="Roboto" w:hAnsi="Roboto"/>
          <w:noProof/>
        </w:rPr>
        <w:fldChar w:fldCharType="end"/>
      </w:r>
      <w:bookmarkEnd w:id="12"/>
      <w:r w:rsidRPr="007C6C48">
        <w:rPr>
          <w:rFonts w:ascii="Roboto" w:hAnsi="Roboto"/>
          <w:noProof/>
        </w:rPr>
        <w:t>.</w:t>
      </w:r>
      <w:r w:rsidRPr="007C6C48">
        <w:rPr>
          <w:rFonts w:ascii="Roboto" w:hAnsi="Roboto"/>
        </w:rPr>
        <w:t xml:space="preserve"> Oxygen fugacity (</w:t>
      </w:r>
      <w:r w:rsidRPr="007C6C48">
        <w:rPr>
          <w:rFonts w:ascii="Roboto" w:hAnsi="Roboto"/>
          <w:i/>
          <w:iCs/>
        </w:rPr>
        <w:t>f</w:t>
      </w:r>
      <w:r w:rsidRPr="007C6C48">
        <w:rPr>
          <w:rFonts w:ascii="Roboto" w:hAnsi="Roboto"/>
          <w:vertAlign w:val="subscript"/>
        </w:rPr>
        <w:t>O2</w:t>
      </w:r>
      <w:r w:rsidRPr="007C6C48">
        <w:rPr>
          <w:rFonts w:ascii="Roboto" w:hAnsi="Roboto"/>
        </w:rPr>
        <w:t>) to Fe</w:t>
      </w:r>
      <w:r w:rsidRPr="007C6C48">
        <w:rPr>
          <w:rFonts w:ascii="Roboto" w:hAnsi="Roboto"/>
          <w:vertAlign w:val="superscript"/>
        </w:rPr>
        <w:t>3+</w:t>
      </w:r>
      <w:r w:rsidRPr="007C6C48">
        <w:rPr>
          <w:rFonts w:ascii="Roboto" w:hAnsi="Roboto"/>
        </w:rPr>
        <w:t>/Fe</w:t>
      </w:r>
      <w:r w:rsidRPr="007C6C48">
        <w:rPr>
          <w:rFonts w:ascii="Roboto" w:hAnsi="Roboto"/>
          <w:vertAlign w:val="superscript"/>
        </w:rPr>
        <w:t>2+</w:t>
      </w:r>
      <w:r w:rsidRPr="007C6C48">
        <w:rPr>
          <w:rFonts w:ascii="Roboto" w:hAnsi="Roboto"/>
        </w:rPr>
        <w:t xml:space="preserve"> relationships and their calibration ranges.</w:t>
      </w:r>
    </w:p>
    <w:tbl>
      <w:tblPr>
        <w:tblStyle w:val="TableGrid"/>
        <w:tblW w:w="0" w:type="auto"/>
        <w:tblLook w:val="04A0" w:firstRow="1" w:lastRow="0" w:firstColumn="1" w:lastColumn="0" w:noHBand="0" w:noVBand="1"/>
      </w:tblPr>
      <w:tblGrid>
        <w:gridCol w:w="1215"/>
        <w:gridCol w:w="913"/>
        <w:gridCol w:w="873"/>
        <w:gridCol w:w="1688"/>
        <w:gridCol w:w="1901"/>
        <w:gridCol w:w="2426"/>
      </w:tblGrid>
      <w:tr w:rsidR="00025882" w:rsidRPr="007C6C48" w14:paraId="1E5CCC43" w14:textId="77777777" w:rsidTr="00B45276">
        <w:tc>
          <w:tcPr>
            <w:tcW w:w="1136" w:type="dxa"/>
            <w:tcBorders>
              <w:top w:val="single" w:sz="8" w:space="0" w:color="auto"/>
              <w:bottom w:val="single" w:sz="8" w:space="0" w:color="auto"/>
            </w:tcBorders>
            <w:vAlign w:val="center"/>
          </w:tcPr>
          <w:p w14:paraId="3708D743" w14:textId="77777777" w:rsidR="00025882" w:rsidRPr="007C6C48" w:rsidRDefault="00025882" w:rsidP="00025882">
            <w:pPr>
              <w:pStyle w:val="NoSpacing"/>
              <w:spacing w:after="0"/>
              <w:jc w:val="center"/>
              <w:rPr>
                <w:rFonts w:ascii="Roboto" w:hAnsi="Roboto"/>
              </w:rPr>
            </w:pPr>
            <w:r w:rsidRPr="007C6C48">
              <w:rPr>
                <w:rFonts w:ascii="Roboto" w:hAnsi="Roboto"/>
              </w:rPr>
              <w:t>Variables</w:t>
            </w:r>
          </w:p>
        </w:tc>
        <w:tc>
          <w:tcPr>
            <w:tcW w:w="893" w:type="dxa"/>
            <w:tcBorders>
              <w:top w:val="single" w:sz="8" w:space="0" w:color="auto"/>
              <w:bottom w:val="single" w:sz="8" w:space="0" w:color="auto"/>
            </w:tcBorders>
            <w:vAlign w:val="center"/>
          </w:tcPr>
          <w:p w14:paraId="693706E5" w14:textId="77777777" w:rsidR="00025882" w:rsidRPr="007C6C48" w:rsidRDefault="00025882" w:rsidP="00025882">
            <w:pPr>
              <w:pStyle w:val="NoSpacing"/>
              <w:spacing w:after="0"/>
              <w:jc w:val="center"/>
              <w:rPr>
                <w:rFonts w:ascii="Roboto" w:hAnsi="Roboto"/>
                <w:i/>
                <w:iCs/>
              </w:rPr>
            </w:pPr>
            <w:r w:rsidRPr="007C6C48">
              <w:rPr>
                <w:rFonts w:ascii="Roboto" w:hAnsi="Roboto"/>
                <w:i/>
                <w:iCs/>
              </w:rPr>
              <w:t>T</w:t>
            </w:r>
            <w:r w:rsidRPr="007C6C48">
              <w:rPr>
                <w:rFonts w:ascii="Roboto" w:hAnsi="Roboto"/>
              </w:rPr>
              <w:t xml:space="preserve"> (°C)</w:t>
            </w:r>
          </w:p>
        </w:tc>
        <w:tc>
          <w:tcPr>
            <w:tcW w:w="875" w:type="dxa"/>
            <w:tcBorders>
              <w:top w:val="single" w:sz="8" w:space="0" w:color="auto"/>
              <w:bottom w:val="single" w:sz="8" w:space="0" w:color="auto"/>
            </w:tcBorders>
            <w:vAlign w:val="center"/>
          </w:tcPr>
          <w:p w14:paraId="7F106C0F" w14:textId="77777777" w:rsidR="00025882" w:rsidRPr="007C6C48" w:rsidRDefault="00025882" w:rsidP="00025882">
            <w:pPr>
              <w:pStyle w:val="NoSpacing"/>
              <w:spacing w:after="0"/>
              <w:jc w:val="center"/>
              <w:rPr>
                <w:rFonts w:ascii="Roboto" w:hAnsi="Roboto"/>
              </w:rPr>
            </w:pPr>
            <w:r w:rsidRPr="007C6C48">
              <w:rPr>
                <w:rFonts w:ascii="Roboto" w:hAnsi="Roboto"/>
                <w:i/>
                <w:iCs/>
              </w:rPr>
              <w:t>P</w:t>
            </w:r>
            <w:r w:rsidRPr="007C6C48">
              <w:rPr>
                <w:rFonts w:ascii="Roboto" w:hAnsi="Roboto"/>
              </w:rPr>
              <w:t xml:space="preserve"> (bars)</w:t>
            </w:r>
          </w:p>
        </w:tc>
        <w:tc>
          <w:tcPr>
            <w:tcW w:w="1697" w:type="dxa"/>
            <w:tcBorders>
              <w:top w:val="single" w:sz="8" w:space="0" w:color="auto"/>
              <w:bottom w:val="single" w:sz="8" w:space="0" w:color="auto"/>
            </w:tcBorders>
            <w:vAlign w:val="center"/>
          </w:tcPr>
          <w:p w14:paraId="340E78BB" w14:textId="77777777" w:rsidR="00025882" w:rsidRPr="007C6C48" w:rsidRDefault="00025882" w:rsidP="00025882">
            <w:pPr>
              <w:pStyle w:val="NoSpacing"/>
              <w:spacing w:after="0"/>
              <w:jc w:val="center"/>
              <w:rPr>
                <w:rFonts w:ascii="Roboto" w:hAnsi="Roboto"/>
              </w:rPr>
            </w:pPr>
            <w:r w:rsidRPr="007C6C48">
              <w:rPr>
                <w:rFonts w:ascii="Roboto" w:hAnsi="Roboto"/>
              </w:rPr>
              <w:t>Composition</w:t>
            </w:r>
          </w:p>
        </w:tc>
        <w:tc>
          <w:tcPr>
            <w:tcW w:w="1908" w:type="dxa"/>
            <w:tcBorders>
              <w:top w:val="single" w:sz="8" w:space="0" w:color="auto"/>
              <w:bottom w:val="single" w:sz="8" w:space="0" w:color="auto"/>
            </w:tcBorders>
            <w:vAlign w:val="center"/>
          </w:tcPr>
          <w:p w14:paraId="46BD8A28" w14:textId="6C629596" w:rsidR="00025882" w:rsidRPr="007C6C48" w:rsidRDefault="00025882" w:rsidP="00025882">
            <w:pPr>
              <w:pStyle w:val="NoSpacing"/>
              <w:spacing w:after="0"/>
              <w:jc w:val="center"/>
              <w:rPr>
                <w:rFonts w:ascii="Roboto" w:hAnsi="Roboto"/>
              </w:rPr>
            </w:pPr>
            <w:r w:rsidRPr="007C6C48">
              <w:rPr>
                <w:rFonts w:ascii="Roboto" w:hAnsi="Roboto"/>
              </w:rPr>
              <w:t>Benchmark</w:t>
            </w:r>
          </w:p>
        </w:tc>
        <w:tc>
          <w:tcPr>
            <w:tcW w:w="2507" w:type="dxa"/>
            <w:tcBorders>
              <w:top w:val="single" w:sz="8" w:space="0" w:color="auto"/>
              <w:bottom w:val="single" w:sz="8" w:space="0" w:color="auto"/>
            </w:tcBorders>
            <w:vAlign w:val="center"/>
          </w:tcPr>
          <w:p w14:paraId="2A3A6C63" w14:textId="1C1402D6" w:rsidR="00025882" w:rsidRPr="007C6C48" w:rsidRDefault="00025882" w:rsidP="00025882">
            <w:pPr>
              <w:pStyle w:val="NoSpacing"/>
              <w:spacing w:after="0"/>
              <w:jc w:val="center"/>
              <w:rPr>
                <w:rFonts w:ascii="Roboto" w:hAnsi="Roboto"/>
              </w:rPr>
            </w:pPr>
            <w:r w:rsidRPr="007C6C48">
              <w:rPr>
                <w:rFonts w:ascii="Roboto" w:hAnsi="Roboto"/>
              </w:rPr>
              <w:t>Reference</w:t>
            </w:r>
          </w:p>
        </w:tc>
      </w:tr>
      <w:tr w:rsidR="00025882" w:rsidRPr="007C6C48" w14:paraId="63636E56" w14:textId="77777777" w:rsidTr="00B45276">
        <w:tc>
          <w:tcPr>
            <w:tcW w:w="1136" w:type="dxa"/>
            <w:tcBorders>
              <w:top w:val="single" w:sz="8" w:space="0" w:color="auto"/>
            </w:tcBorders>
          </w:tcPr>
          <w:p w14:paraId="6914E5F4" w14:textId="77777777" w:rsidR="00025882" w:rsidRPr="007C6C48" w:rsidRDefault="00025882" w:rsidP="00B061FC">
            <w:pPr>
              <w:pStyle w:val="NoSpacing"/>
              <w:spacing w:after="0"/>
              <w:rPr>
                <w:rFonts w:ascii="Roboto" w:hAnsi="Roboto"/>
                <w:i/>
                <w:iCs/>
                <w:highlight w:val="yellow"/>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Borders>
              <w:top w:val="single" w:sz="8" w:space="0" w:color="auto"/>
            </w:tcBorders>
          </w:tcPr>
          <w:p w14:paraId="61C6A3A5" w14:textId="77777777" w:rsidR="00025882" w:rsidRPr="007C6C48" w:rsidRDefault="00025882" w:rsidP="00B061FC">
            <w:pPr>
              <w:pStyle w:val="NoSpacing"/>
              <w:spacing w:after="0"/>
              <w:jc w:val="right"/>
              <w:rPr>
                <w:rFonts w:ascii="Roboto" w:hAnsi="Roboto"/>
              </w:rPr>
            </w:pPr>
            <w:r w:rsidRPr="007C6C48">
              <w:rPr>
                <w:rFonts w:ascii="Roboto" w:hAnsi="Roboto"/>
              </w:rPr>
              <w:t xml:space="preserve">1200–1630 </w:t>
            </w:r>
          </w:p>
        </w:tc>
        <w:tc>
          <w:tcPr>
            <w:tcW w:w="875" w:type="dxa"/>
            <w:tcBorders>
              <w:top w:val="single" w:sz="8" w:space="0" w:color="auto"/>
            </w:tcBorders>
          </w:tcPr>
          <w:p w14:paraId="1C80E143" w14:textId="77777777" w:rsidR="00025882" w:rsidRPr="007C6C48" w:rsidRDefault="00025882" w:rsidP="00B061FC">
            <w:pPr>
              <w:pStyle w:val="NoSpacing"/>
              <w:spacing w:after="0"/>
              <w:jc w:val="right"/>
              <w:rPr>
                <w:rFonts w:ascii="Roboto" w:hAnsi="Roboto"/>
              </w:rPr>
            </w:pPr>
            <w:r w:rsidRPr="007C6C48">
              <w:rPr>
                <w:rFonts w:ascii="Roboto" w:hAnsi="Roboto"/>
              </w:rPr>
              <w:t>1</w:t>
            </w:r>
          </w:p>
        </w:tc>
        <w:tc>
          <w:tcPr>
            <w:tcW w:w="1697" w:type="dxa"/>
            <w:tcBorders>
              <w:top w:val="single" w:sz="8" w:space="0" w:color="auto"/>
            </w:tcBorders>
          </w:tcPr>
          <w:p w14:paraId="174E8588" w14:textId="77777777" w:rsidR="00025882" w:rsidRPr="007C6C48" w:rsidRDefault="00025882" w:rsidP="00B061FC">
            <w:pPr>
              <w:pStyle w:val="NoSpacing"/>
              <w:spacing w:after="0"/>
              <w:rPr>
                <w:rFonts w:ascii="Roboto" w:hAnsi="Roboto"/>
              </w:rPr>
            </w:pPr>
            <w:r w:rsidRPr="007C6C48">
              <w:rPr>
                <w:rFonts w:ascii="Roboto" w:hAnsi="Roboto"/>
              </w:rPr>
              <w:t>Basalt to andesite</w:t>
            </w:r>
          </w:p>
        </w:tc>
        <w:tc>
          <w:tcPr>
            <w:tcW w:w="1908" w:type="dxa"/>
            <w:tcBorders>
              <w:top w:val="single" w:sz="8" w:space="0" w:color="auto"/>
            </w:tcBorders>
          </w:tcPr>
          <w:p w14:paraId="2E7A2BE1" w14:textId="32D86BEE" w:rsidR="00025882" w:rsidRPr="007C6C48" w:rsidRDefault="008F6B65" w:rsidP="00B061FC">
            <w:pPr>
              <w:pStyle w:val="NoSpacing"/>
              <w:spacing w:after="0"/>
              <w:rPr>
                <w:rFonts w:ascii="Roboto" w:hAnsi="Roboto"/>
              </w:rPr>
            </w:pPr>
            <w:r w:rsidRPr="007C6C48">
              <w:rPr>
                <w:rFonts w:ascii="Roboto" w:hAnsi="Roboto"/>
              </w:rPr>
              <w:t xml:space="preserve">Thermobar </w:t>
            </w:r>
            <w:r w:rsidRPr="007C6C48">
              <w:rPr>
                <w:rFonts w:ascii="Roboto" w:hAnsi="Roboto"/>
                <w:color w:val="000000" w:themeColor="text1"/>
              </w:rPr>
              <w:t>(Wieser et al., 2022)</w:t>
            </w:r>
          </w:p>
        </w:tc>
        <w:tc>
          <w:tcPr>
            <w:tcW w:w="2507" w:type="dxa"/>
            <w:tcBorders>
              <w:top w:val="single" w:sz="8" w:space="0" w:color="auto"/>
            </w:tcBorders>
          </w:tcPr>
          <w:p w14:paraId="3A65831B" w14:textId="706A0622" w:rsidR="00025882" w:rsidRPr="007C6C48" w:rsidRDefault="00025882" w:rsidP="00B061FC">
            <w:pPr>
              <w:pStyle w:val="NoSpacing"/>
              <w:spacing w:after="0"/>
              <w:rPr>
                <w:rFonts w:ascii="Roboto" w:hAnsi="Roboto"/>
                <w:highlight w:val="yellow"/>
              </w:rPr>
            </w:pPr>
            <w:r w:rsidRPr="007C6C48">
              <w:rPr>
                <w:rFonts w:ascii="Roboto" w:hAnsi="Roboto"/>
              </w:rPr>
              <w:t xml:space="preserve">Eq. (7) in </w:t>
            </w:r>
            <w:r w:rsidRPr="007C6C48">
              <w:rPr>
                <w:rFonts w:ascii="Roboto" w:hAnsi="Roboto"/>
              </w:rPr>
              <w:fldChar w:fldCharType="begin" w:fldLock="1"/>
            </w:r>
            <w:r w:rsidRPr="007C6C48">
              <w:rPr>
                <w:rFonts w:ascii="Roboto" w:hAnsi="Roboto"/>
              </w:rPr>
              <w:instrText>ADDIN CSL_CITATION {"citationItems":[{"id":"ITEM-1","itemData":{"DOI":"10.1007/BF00307328","ISSN":"0010-7999","author":[{"dropping-particle":"","family":"Kress","given":"Victor C.","non-dropping-particle":"","parse-names":false,"suffix":""},{"dropping-particle":"","family":"Carmichael","given":"Ian S.E.","non-dropping-particle":"","parse-names":false,"suffix":""}],"container-title":"Contributions to Mineralogy and Petrology","id":"ITEM-1","issue":"1-2","issued":{"date-parts":[["1991","7"]]},"page":"82-92","publisher":"Springer-Verlag","title":"The compressibility of silicate liquids containing Fe2O3 and the effect of composition, temperature, oxygen fugacity and pressure on their redox states","type":"article-journal","volume":"108"},"uris":["http://www.mendeley.com/documents/?uuid=4fd02c6e-2af3-3005-b01a-e2a8c18e2b90"]}],"mendeley":{"formattedCitation":"(Kress and Carmichael, 1991)","manualFormatting":"Kress and Carmichael (1991)","plainTextFormattedCitation":"(Kress and Carmichael, 1991)","previouslyFormattedCitation":"(Kress and Carmichael,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Kress and Carmichael (1991)</w:t>
            </w:r>
            <w:r w:rsidRPr="007C6C48">
              <w:rPr>
                <w:rFonts w:ascii="Roboto" w:hAnsi="Roboto"/>
              </w:rPr>
              <w:fldChar w:fldCharType="end"/>
            </w:r>
            <w:r w:rsidRPr="007C6C48">
              <w:rPr>
                <w:rFonts w:ascii="Roboto" w:hAnsi="Roboto"/>
              </w:rPr>
              <w:t xml:space="preserve"> </w:t>
            </w:r>
          </w:p>
        </w:tc>
      </w:tr>
      <w:tr w:rsidR="00025882" w:rsidRPr="007C6C48" w14:paraId="722C575C" w14:textId="77777777" w:rsidTr="00B45276">
        <w:tc>
          <w:tcPr>
            <w:tcW w:w="1136" w:type="dxa"/>
          </w:tcPr>
          <w:p w14:paraId="788CB6AD" w14:textId="77777777" w:rsidR="00025882" w:rsidRPr="007C6C48" w:rsidRDefault="00025882" w:rsidP="00B061FC">
            <w:pPr>
              <w:pStyle w:val="NoSpacing"/>
              <w:spacing w:after="0"/>
              <w:rPr>
                <w:rFonts w:ascii="Roboto" w:hAnsi="Roboto"/>
                <w:i/>
                <w:iCs/>
                <w:highlight w:val="yellow"/>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Pr>
          <w:p w14:paraId="4948F818" w14:textId="77777777" w:rsidR="00025882" w:rsidRPr="007C6C48" w:rsidRDefault="00025882" w:rsidP="00B061FC">
            <w:pPr>
              <w:pStyle w:val="NoSpacing"/>
              <w:spacing w:after="0"/>
              <w:jc w:val="right"/>
              <w:rPr>
                <w:rFonts w:ascii="Roboto" w:hAnsi="Roboto"/>
                <w:i/>
                <w:iCs/>
              </w:rPr>
            </w:pPr>
            <w:r w:rsidRPr="007C6C48">
              <w:rPr>
                <w:rFonts w:ascii="Roboto" w:hAnsi="Roboto"/>
              </w:rPr>
              <w:t>1200–1630</w:t>
            </w:r>
          </w:p>
        </w:tc>
        <w:tc>
          <w:tcPr>
            <w:tcW w:w="875" w:type="dxa"/>
          </w:tcPr>
          <w:p w14:paraId="0F628444" w14:textId="77777777" w:rsidR="00025882" w:rsidRPr="007C6C48" w:rsidRDefault="00025882" w:rsidP="00B061FC">
            <w:pPr>
              <w:pStyle w:val="NoSpacing"/>
              <w:spacing w:after="0"/>
              <w:jc w:val="right"/>
              <w:rPr>
                <w:rFonts w:ascii="Roboto" w:hAnsi="Roboto"/>
              </w:rPr>
            </w:pPr>
            <w:r w:rsidRPr="007C6C48">
              <w:rPr>
                <w:rFonts w:ascii="Roboto" w:hAnsi="Roboto"/>
              </w:rPr>
              <w:t>1</w:t>
            </w:r>
          </w:p>
        </w:tc>
        <w:tc>
          <w:tcPr>
            <w:tcW w:w="1697" w:type="dxa"/>
          </w:tcPr>
          <w:p w14:paraId="5178EC7C" w14:textId="77777777" w:rsidR="00025882" w:rsidRPr="007C6C48" w:rsidRDefault="00025882" w:rsidP="00B061FC">
            <w:pPr>
              <w:pStyle w:val="NoSpacing"/>
              <w:spacing w:after="0"/>
              <w:rPr>
                <w:rFonts w:ascii="Roboto" w:hAnsi="Roboto"/>
              </w:rPr>
            </w:pPr>
            <w:r w:rsidRPr="007C6C48">
              <w:rPr>
                <w:rFonts w:ascii="Roboto" w:hAnsi="Roboto"/>
              </w:rPr>
              <w:t>Basalt to andesite</w:t>
            </w:r>
          </w:p>
        </w:tc>
        <w:tc>
          <w:tcPr>
            <w:tcW w:w="1908" w:type="dxa"/>
          </w:tcPr>
          <w:p w14:paraId="29F6672A" w14:textId="41D5F76F" w:rsidR="00025882" w:rsidRPr="007C6C48" w:rsidRDefault="00726532" w:rsidP="00B061FC">
            <w:pPr>
              <w:pStyle w:val="NoSpacing"/>
              <w:spacing w:after="0"/>
              <w:rPr>
                <w:rFonts w:ascii="Roboto" w:hAnsi="Roboto"/>
              </w:rPr>
            </w:pPr>
            <w:r w:rsidRPr="007C6C48">
              <w:rPr>
                <w:rFonts w:ascii="Roboto" w:hAnsi="Roboto"/>
              </w:rPr>
              <w:t>-</w:t>
            </w:r>
          </w:p>
        </w:tc>
        <w:tc>
          <w:tcPr>
            <w:tcW w:w="2507" w:type="dxa"/>
          </w:tcPr>
          <w:p w14:paraId="27152B56" w14:textId="1FF23560" w:rsidR="00025882" w:rsidRPr="007C6C48" w:rsidRDefault="00025882" w:rsidP="00B061FC">
            <w:pPr>
              <w:pStyle w:val="NoSpacing"/>
              <w:spacing w:after="0"/>
              <w:rPr>
                <w:rFonts w:ascii="Roboto" w:hAnsi="Roboto"/>
                <w:highlight w:val="yellow"/>
              </w:rPr>
            </w:pPr>
            <w:r w:rsidRPr="007C6C48">
              <w:rPr>
                <w:rFonts w:ascii="Roboto" w:hAnsi="Roboto"/>
              </w:rPr>
              <w:t xml:space="preserve">Eq. (A-5,6) in </w:t>
            </w:r>
            <w:r w:rsidRPr="007C6C48">
              <w:rPr>
                <w:rFonts w:ascii="Roboto" w:hAnsi="Roboto"/>
              </w:rPr>
              <w:fldChar w:fldCharType="begin" w:fldLock="1"/>
            </w:r>
            <w:r w:rsidRPr="007C6C48">
              <w:rPr>
                <w:rFonts w:ascii="Roboto" w:hAnsi="Roboto"/>
              </w:rPr>
              <w:instrText>ADDIN CSL_CITATION {"citationItems":[{"id":"ITEM-1","itemData":{"DOI":"10.1007/BF00307328","ISSN":"0010-7999","author":[{"dropping-particle":"","family":"Kress","given":"Victor C.","non-dropping-particle":"","parse-names":false,"suffix":""},{"dropping-particle":"","family":"Carmichael","given":"Ian S.E.","non-dropping-particle":"","parse-names":false,"suffix":""}],"container-title":"Contributions to Mineralogy and Petrology","id":"ITEM-1","issue":"1-2","issued":{"date-parts":[["1991","7"]]},"page":"82-92","publisher":"Springer-Verlag","title":"The compressibility of silicate liquids containing Fe2O3 and the effect of composition, temperature, oxygen fugacity and pressure on their redox states","type":"article-journal","volume":"108"},"uris":["http://www.mendeley.com/documents/?uuid=4fd02c6e-2af3-3005-b01a-e2a8c18e2b90"]}],"mendeley":{"formattedCitation":"(Kress and Carmichael, 1991)","manualFormatting":"Kress and Carmichael (1991)","plainTextFormattedCitation":"(Kress and Carmichael, 1991)","previouslyFormattedCitation":"(Kress and Carmichael,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Kress and Carmichael (1991)</w:t>
            </w:r>
            <w:r w:rsidRPr="007C6C48">
              <w:rPr>
                <w:rFonts w:ascii="Roboto" w:hAnsi="Roboto"/>
              </w:rPr>
              <w:fldChar w:fldCharType="end"/>
            </w:r>
          </w:p>
        </w:tc>
      </w:tr>
      <w:tr w:rsidR="00025882" w:rsidRPr="007C6C48" w14:paraId="2C67A3F0" w14:textId="77777777" w:rsidTr="00B45276">
        <w:tc>
          <w:tcPr>
            <w:tcW w:w="1136" w:type="dxa"/>
          </w:tcPr>
          <w:p w14:paraId="2A204B73" w14:textId="77777777" w:rsidR="00025882" w:rsidRPr="007C6C48" w:rsidRDefault="00025882" w:rsidP="00B061FC">
            <w:pPr>
              <w:pStyle w:val="NoSpacing"/>
              <w:spacing w:after="0"/>
              <w:rPr>
                <w:rFonts w:ascii="Roboto" w:hAnsi="Roboto"/>
                <w:i/>
                <w:iCs/>
                <w:highlight w:val="yellow"/>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Pr>
          <w:p w14:paraId="33FB4B54" w14:textId="77777777" w:rsidR="00025882" w:rsidRPr="007C6C48" w:rsidRDefault="00025882" w:rsidP="00B061FC">
            <w:pPr>
              <w:pStyle w:val="NoSpacing"/>
              <w:spacing w:after="0"/>
              <w:jc w:val="center"/>
              <w:rPr>
                <w:rFonts w:ascii="Roboto" w:hAnsi="Roboto"/>
              </w:rPr>
            </w:pPr>
            <w:r w:rsidRPr="007C6C48">
              <w:rPr>
                <w:rFonts w:ascii="Roboto" w:hAnsi="Roboto"/>
              </w:rPr>
              <w:t>–</w:t>
            </w:r>
          </w:p>
        </w:tc>
        <w:tc>
          <w:tcPr>
            <w:tcW w:w="875" w:type="dxa"/>
          </w:tcPr>
          <w:p w14:paraId="4A85931B" w14:textId="77777777" w:rsidR="00025882" w:rsidRPr="007C6C48" w:rsidRDefault="00025882" w:rsidP="00B061FC">
            <w:pPr>
              <w:pStyle w:val="NoSpacing"/>
              <w:spacing w:after="0"/>
              <w:jc w:val="right"/>
              <w:rPr>
                <w:rFonts w:ascii="Roboto" w:hAnsi="Roboto"/>
              </w:rPr>
            </w:pPr>
            <w:r w:rsidRPr="007C6C48">
              <w:rPr>
                <w:rFonts w:ascii="Roboto" w:hAnsi="Roboto"/>
              </w:rPr>
              <w:t>1</w:t>
            </w:r>
          </w:p>
        </w:tc>
        <w:tc>
          <w:tcPr>
            <w:tcW w:w="1697" w:type="dxa"/>
          </w:tcPr>
          <w:p w14:paraId="0169587E" w14:textId="77777777" w:rsidR="00025882" w:rsidRPr="007C6C48" w:rsidRDefault="00025882" w:rsidP="00B061FC">
            <w:pPr>
              <w:pStyle w:val="NoSpacing"/>
              <w:spacing w:after="0"/>
              <w:rPr>
                <w:rFonts w:ascii="Roboto" w:hAnsi="Roboto"/>
              </w:rPr>
            </w:pPr>
            <w:r w:rsidRPr="007C6C48">
              <w:rPr>
                <w:rFonts w:ascii="Roboto" w:hAnsi="Roboto"/>
              </w:rPr>
              <w:t>&lt;60 wt% SiO</w:t>
            </w:r>
            <w:r w:rsidRPr="007C6C48">
              <w:rPr>
                <w:rFonts w:ascii="Roboto" w:hAnsi="Roboto"/>
                <w:vertAlign w:val="subscript"/>
              </w:rPr>
              <w:t>2</w:t>
            </w:r>
          </w:p>
        </w:tc>
        <w:tc>
          <w:tcPr>
            <w:tcW w:w="1908" w:type="dxa"/>
          </w:tcPr>
          <w:p w14:paraId="78EBDB77" w14:textId="17047EF5" w:rsidR="00025882" w:rsidRPr="007C6C48" w:rsidRDefault="00E9533F" w:rsidP="00B061FC">
            <w:pPr>
              <w:pStyle w:val="NoSpacing"/>
              <w:spacing w:after="0"/>
              <w:rPr>
                <w:rFonts w:ascii="Roboto" w:hAnsi="Roboto"/>
              </w:rPr>
            </w:pPr>
            <w:r w:rsidRPr="007C6C48">
              <w:rPr>
                <w:rFonts w:ascii="Roboto" w:hAnsi="Roboto"/>
                <w:color w:val="000000" w:themeColor="text1"/>
              </w:rPr>
              <w:t>Supplementary spreadsheet</w:t>
            </w:r>
            <w:r w:rsidR="00E65C2F" w:rsidRPr="007C6C48">
              <w:rPr>
                <w:rFonts w:ascii="Roboto" w:hAnsi="Roboto"/>
                <w:color w:val="000000" w:themeColor="text1"/>
              </w:rPr>
              <w:t xml:space="preserve"> from O’Neill </w:t>
            </w:r>
            <w:r w:rsidR="00726532" w:rsidRPr="007C6C48">
              <w:rPr>
                <w:rFonts w:ascii="Roboto" w:hAnsi="Roboto"/>
                <w:color w:val="000000" w:themeColor="text1"/>
              </w:rPr>
              <w:t>and</w:t>
            </w:r>
            <w:r w:rsidR="00E65C2F" w:rsidRPr="007C6C48">
              <w:rPr>
                <w:rFonts w:ascii="Roboto" w:hAnsi="Roboto"/>
                <w:color w:val="000000" w:themeColor="text1"/>
              </w:rPr>
              <w:t xml:space="preserve"> Mavrogenes (2022)</w:t>
            </w:r>
          </w:p>
        </w:tc>
        <w:tc>
          <w:tcPr>
            <w:tcW w:w="2507" w:type="dxa"/>
          </w:tcPr>
          <w:p w14:paraId="4174798B" w14:textId="6CE06E14" w:rsidR="00025882" w:rsidRPr="007C6C48" w:rsidRDefault="00025882" w:rsidP="00B061FC">
            <w:pPr>
              <w:pStyle w:val="NoSpacing"/>
              <w:spacing w:after="0"/>
              <w:rPr>
                <w:rFonts w:ascii="Roboto" w:hAnsi="Roboto"/>
                <w:highlight w:val="yellow"/>
              </w:rPr>
            </w:pPr>
            <w:r w:rsidRPr="007C6C48">
              <w:rPr>
                <w:rFonts w:ascii="Roboto" w:hAnsi="Roboto"/>
                <w:lang w:val="it-IT"/>
              </w:rPr>
              <w:t xml:space="preserve">Eq. (9a) in </w:t>
            </w:r>
            <w:r w:rsidRPr="007C6C48">
              <w:rPr>
                <w:rFonts w:ascii="Roboto" w:hAnsi="Roboto"/>
              </w:rPr>
              <w:fldChar w:fldCharType="begin" w:fldLock="1"/>
            </w:r>
            <w:r w:rsidRPr="007C6C48">
              <w:rPr>
                <w:rFonts w:ascii="Roboto" w:hAnsi="Roboto"/>
                <w:lang w:val="it-IT"/>
              </w:rPr>
              <w:instrText>ADDIN CSL_CITATION {"citationItems":[{"id":"ITEM-1","itemData":{"DOI":"10.1016/J.EPSL.2018.10.002","ISSN":"0012-821X","abstract":"The oxidation state of a basaltic liquid may be obtained from the average valence state of Fe in its quenched glass. Suitable glasses are widely available from the basalts erupted at Mid-Ocean Ridges (MORB). Measurements of Fe3+/∑Fe, where ∑Fe=Fe2++Fe3+, by XANES spectroscopy of a globally representative sample of these MORB glasses are in good agreement with the most recent literature values determined by wet chemistry, but have improved precision, with an expected standard deviation of ±0.01 in Fe3+/∑Fe for each independent measurement. These precise data allow the geochemical controls on MORB redox systematics at both global and local scales to be evaluated. At the global scale, the relationship between log[Fe2O3] and [MgO] shows that Fe3+ behaves like a lightly incompatible element (LICE) during the crustal evolution of MORB, with its incompatibility between those of the redox-insensitive elements Li and In. The variability of Fe3+ about this global trend is also consistent with that of redox-insensitive elements of similar incompatibility, implying no external buffering of oxygen fugacity (fO2). The variability of Fe3+ is anti-correlated with the variabilities of Sr and Na, which are compatible in plagioclase, but is positively correlated with the variabilities of elements that partition preferentially into clinopyroxene and/or olivine rather than plagioclase, showing that its variability is controlled at least partly by varying ratios of plagioclase to clinopyroxene and olivine during the crustal evolution of MORB. Deviations of Fe3+ concentrations from the global trend are, like those of other LICE, anticorrelated with the deviations from their global trends of the very incompatible elements (VICE). Extrapolation of the global trend to an assumed parental melt at 10.4 wt% [MgO] gives [Fe2O3]o, the concentration of Fe2O3 in the global average MORB parental melt, of 0.6 wt%, which is consistent with 15–20% partial melting of a spinel lherzolite source with 0.2 to 0.3 wt% Fe2O3. This estimate of source Fe2O3 agrees with the estimate for fertile upper mantle lherzolite deduced from measurements of Fe3+/∑Fe and total Fe in the minerals of spinel peridotite xenoliths from the lithosphere. The fO2 of the MORB glasses at 1 bar may be calculated from their measured Fe3+/∑Fe using a new parameterization of 478 experimental data from the literature with &lt;60 wt% SiO2. The need for the new parameterization arises from recent experimental studies, which, among…","author":[{"dropping-particle":"","family":"O'Neill","given":"Hugh St. C.","non-dropping-particle":"","parse-names":false,"suffix":""},{"dropping-particle":"","family":"Berry","given":"Andrew J.","non-dropping-particle":"","parse-names":false,"suffix":""},{"dropping-particle":"","family":"Mallmann","given":"Guilherme","non-dropping-particle":"","parse-names":false,"suffix":""}],"container-title":"Earth and Planetary Science Letters","id":"ITEM-1","issued":{"date-parts":[["2018","12","15"]]},"page":"152-162","publisher":"Elsevier","title":"The oxidation state of iron in Mid-Ocean Ridge Basaltic (MORB) glasses: Implications for their petrogenesis and oxygen fugacities","type":"article-journal","volume":"504"},"uris":["http://www.mendeley.com/documents/?uuid=f076e91c-65c8-31c3-9408-7062bbe3f498"]}],"mendeley":{"formattedCitation":"(O’Neill et al., 2018)","manualFormatting":"O’Neill et al. (2018)","plainTextFormattedCitation":"(O’Neill et al., 2018)","previouslyFormattedCitation":"(O’Neill et al., 2018)"},"properties":{"noteIndex":0},"schema":"https://github.com/citation-style-language/schema/raw/master/csl-citation.json"}</w:instrText>
            </w:r>
            <w:r w:rsidRPr="007C6C48">
              <w:rPr>
                <w:rFonts w:ascii="Roboto" w:hAnsi="Roboto"/>
              </w:rPr>
              <w:fldChar w:fldCharType="separate"/>
            </w:r>
            <w:r w:rsidRPr="007C6C48">
              <w:rPr>
                <w:rFonts w:ascii="Roboto" w:hAnsi="Roboto"/>
                <w:noProof/>
                <w:lang w:val="it-IT"/>
              </w:rPr>
              <w:t xml:space="preserve">O’Neill et al. </w:t>
            </w:r>
            <w:r w:rsidRPr="007C6C48">
              <w:rPr>
                <w:rFonts w:ascii="Roboto" w:hAnsi="Roboto"/>
                <w:noProof/>
              </w:rPr>
              <w:t>(2018)</w:t>
            </w:r>
            <w:r w:rsidRPr="007C6C48">
              <w:rPr>
                <w:rFonts w:ascii="Roboto" w:hAnsi="Roboto"/>
              </w:rPr>
              <w:fldChar w:fldCharType="end"/>
            </w:r>
            <w:r w:rsidRPr="007C6C48">
              <w:rPr>
                <w:rFonts w:ascii="Roboto" w:hAnsi="Roboto"/>
              </w:rPr>
              <w:t xml:space="preserve"> </w:t>
            </w:r>
          </w:p>
        </w:tc>
      </w:tr>
      <w:tr w:rsidR="00025882" w:rsidRPr="007C6C48" w14:paraId="3819D991" w14:textId="77777777" w:rsidTr="00B45276">
        <w:tc>
          <w:tcPr>
            <w:tcW w:w="1136" w:type="dxa"/>
            <w:tcBorders>
              <w:bottom w:val="single" w:sz="8" w:space="0" w:color="auto"/>
            </w:tcBorders>
          </w:tcPr>
          <w:p w14:paraId="1F08F659" w14:textId="77777777" w:rsidR="00025882" w:rsidRPr="007C6C48" w:rsidRDefault="00025882" w:rsidP="00B061FC">
            <w:pPr>
              <w:pStyle w:val="NoSpacing"/>
              <w:spacing w:after="0"/>
              <w:rPr>
                <w:rFonts w:ascii="Roboto" w:hAnsi="Roboto"/>
                <w:i/>
                <w:iCs/>
                <w:highlight w:val="yellow"/>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93" w:type="dxa"/>
            <w:tcBorders>
              <w:bottom w:val="single" w:sz="8" w:space="0" w:color="auto"/>
            </w:tcBorders>
          </w:tcPr>
          <w:p w14:paraId="35DF64BD" w14:textId="77777777" w:rsidR="00025882" w:rsidRPr="007C6C48" w:rsidRDefault="00025882" w:rsidP="00B061FC">
            <w:pPr>
              <w:pStyle w:val="NoSpacing"/>
              <w:spacing w:after="0"/>
              <w:jc w:val="right"/>
              <w:rPr>
                <w:rFonts w:ascii="Roboto" w:hAnsi="Roboto"/>
                <w:highlight w:val="yellow"/>
              </w:rPr>
            </w:pPr>
            <w:r w:rsidRPr="007C6C48">
              <w:rPr>
                <w:rFonts w:ascii="Roboto" w:hAnsi="Roboto"/>
              </w:rPr>
              <w:t>1195– 1636</w:t>
            </w:r>
          </w:p>
        </w:tc>
        <w:tc>
          <w:tcPr>
            <w:tcW w:w="875" w:type="dxa"/>
            <w:tcBorders>
              <w:bottom w:val="single" w:sz="8" w:space="0" w:color="auto"/>
            </w:tcBorders>
          </w:tcPr>
          <w:p w14:paraId="5628672C" w14:textId="77777777" w:rsidR="00025882" w:rsidRPr="007C6C48" w:rsidRDefault="00025882" w:rsidP="00B061FC">
            <w:pPr>
              <w:pStyle w:val="NoSpacing"/>
              <w:spacing w:after="0"/>
              <w:jc w:val="right"/>
              <w:rPr>
                <w:rFonts w:ascii="Roboto" w:hAnsi="Roboto"/>
                <w:highlight w:val="yellow"/>
              </w:rPr>
            </w:pPr>
            <w:r w:rsidRPr="007C6C48">
              <w:rPr>
                <w:rFonts w:ascii="Roboto" w:hAnsi="Roboto"/>
              </w:rPr>
              <w:t>1</w:t>
            </w:r>
          </w:p>
        </w:tc>
        <w:tc>
          <w:tcPr>
            <w:tcW w:w="1697" w:type="dxa"/>
            <w:tcBorders>
              <w:bottom w:val="single" w:sz="8" w:space="0" w:color="auto"/>
            </w:tcBorders>
          </w:tcPr>
          <w:p w14:paraId="670AEBE2" w14:textId="77777777" w:rsidR="00025882" w:rsidRPr="007C6C48" w:rsidRDefault="00025882" w:rsidP="00B061FC">
            <w:pPr>
              <w:pStyle w:val="NoSpacing"/>
              <w:spacing w:after="0"/>
              <w:rPr>
                <w:rFonts w:ascii="Roboto" w:hAnsi="Roboto"/>
                <w:highlight w:val="yellow"/>
              </w:rPr>
            </w:pPr>
            <w:r w:rsidRPr="007C6C48">
              <w:rPr>
                <w:rFonts w:ascii="Roboto" w:hAnsi="Roboto"/>
              </w:rPr>
              <w:t>Basalt to dacite</w:t>
            </w:r>
          </w:p>
        </w:tc>
        <w:tc>
          <w:tcPr>
            <w:tcW w:w="1908" w:type="dxa"/>
            <w:tcBorders>
              <w:bottom w:val="single" w:sz="8" w:space="0" w:color="auto"/>
            </w:tcBorders>
          </w:tcPr>
          <w:p w14:paraId="7E68581B" w14:textId="5F6E053E" w:rsidR="00025882" w:rsidRPr="007C6C48" w:rsidRDefault="00726532" w:rsidP="00B061FC">
            <w:pPr>
              <w:pStyle w:val="NoSpacing"/>
              <w:spacing w:after="0"/>
              <w:rPr>
                <w:rFonts w:ascii="Roboto" w:hAnsi="Roboto"/>
              </w:rPr>
            </w:pPr>
            <w:r w:rsidRPr="007C6C48">
              <w:rPr>
                <w:rFonts w:ascii="Roboto" w:hAnsi="Roboto"/>
              </w:rPr>
              <w:t>-</w:t>
            </w:r>
          </w:p>
        </w:tc>
        <w:tc>
          <w:tcPr>
            <w:tcW w:w="2507" w:type="dxa"/>
            <w:tcBorders>
              <w:bottom w:val="single" w:sz="8" w:space="0" w:color="auto"/>
            </w:tcBorders>
          </w:tcPr>
          <w:p w14:paraId="29082255" w14:textId="0B4F5B25" w:rsidR="00025882" w:rsidRPr="007C6C48" w:rsidRDefault="00025882" w:rsidP="00B061FC">
            <w:pPr>
              <w:pStyle w:val="NoSpacing"/>
              <w:spacing w:after="0"/>
              <w:rPr>
                <w:rFonts w:ascii="Roboto" w:hAnsi="Roboto"/>
                <w:highlight w:val="yellow"/>
              </w:rPr>
            </w:pPr>
            <w:r w:rsidRPr="007C6C48">
              <w:rPr>
                <w:rFonts w:ascii="Roboto" w:hAnsi="Roboto"/>
                <w:lang w:val="it-IT"/>
              </w:rPr>
              <w:t xml:space="preserve">Eq. (4) in </w:t>
            </w:r>
            <w:r w:rsidRPr="007C6C48">
              <w:rPr>
                <w:rFonts w:ascii="Roboto" w:hAnsi="Roboto"/>
              </w:rPr>
              <w:fldChar w:fldCharType="begin" w:fldLock="1"/>
            </w:r>
            <w:r w:rsidRPr="007C6C48">
              <w:rPr>
                <w:rFonts w:ascii="Roboto" w:hAnsi="Roboto"/>
                <w:lang w:val="it-IT"/>
              </w:rPr>
              <w:instrText>ADDIN CSL_CITATION {"citationItems":[{"id":"ITEM-1","itemData":{"DOI":"10.1007/S00410-018-1524-8/FIGURES/10","ISSN":"00107999","abstract":"The effect of MgO and total FeO on ferric/ferrous ratio in model multicomponent silicate melts was investigated experimentally in the temperature range 1300–1500 °C at 1 atm total pressure in air. We demonstrate that the addition of these weak network modifier cations results in an increase of Fe3+/Fe2+ ratio in both mafic and silicic melts. Based on present and published experimental data, a new empirical equation is proposed to predict the ferric/ferrous ratio as a function of oxygen fugacity, temperature and melt composition. In contrast to previous equations, the compositional effect of melts on the Fe3+/Fe2+ ratio is not only modeled by the sum of the molar fraction of the individual oxide components. Additional interactions terms have also been incorporated. The main advantage of the proposed model is its applicability for a wide compositional range. However, its application to felsic melts (&gt; 68 wt% SiO2) is not recommended. Other advantages of this equation and differences when compared with previous models are discussed.","author":[{"dropping-particle":"","family":"Borisov","given":"Alexander","non-dropping-particle":"","parse-names":false,"suffix":""},{"dropping-particle":"","family":"Behrens","given":"Harald","non-dropping-particle":"","parse-names":false,"suffix":""},{"dropping-particle":"","family":"Holtz","given":"Francois","non-dropping-particle":"","parse-names":false,"suffix":""}],"container-title":"Contributions to Mineralogy and Petrology","id":"ITEM-1","issue":"12","issued":{"date-parts":[["2018","12","1"]]},"page":"1-15","publisher":"Springer Verlag","title":"Ferric/ferrous ratio in silicate melts: a new model for 1 atm data with special emphasis on the effects of melt composition","type":"article-journal","volume":"173"},"uris":["http://www.mendeley.com/documents/?uuid=adf48037-eeed-3007-8548-bed2f756df17"]}],"mendeley":{"formattedCitation":"(Borisov et al., 2018)","manualFormatting":"Borisov et al. (2018)","plainTextFormattedCitation":"(Borisov et al., 2018)","previouslyFormattedCitation":"(Borisov et al., 2018)"},"properties":{"noteIndex":0},"schema":"https://github.com/citation-style-language/schema/raw/master/csl-citation.json"}</w:instrText>
            </w:r>
            <w:r w:rsidRPr="007C6C48">
              <w:rPr>
                <w:rFonts w:ascii="Roboto" w:hAnsi="Roboto"/>
              </w:rPr>
              <w:fldChar w:fldCharType="separate"/>
            </w:r>
            <w:r w:rsidRPr="007C6C48">
              <w:rPr>
                <w:rFonts w:ascii="Roboto" w:hAnsi="Roboto"/>
                <w:noProof/>
                <w:lang w:val="it-IT"/>
              </w:rPr>
              <w:t xml:space="preserve">Borisov et al. </w:t>
            </w:r>
            <w:r w:rsidRPr="007C6C48">
              <w:rPr>
                <w:rFonts w:ascii="Roboto" w:hAnsi="Roboto"/>
                <w:noProof/>
              </w:rPr>
              <w:t>(2018)</w:t>
            </w:r>
            <w:r w:rsidRPr="007C6C48">
              <w:rPr>
                <w:rFonts w:ascii="Roboto" w:hAnsi="Roboto"/>
              </w:rPr>
              <w:fldChar w:fldCharType="end"/>
            </w:r>
          </w:p>
        </w:tc>
      </w:tr>
    </w:tbl>
    <w:p w14:paraId="52BC5C7A" w14:textId="77777777" w:rsidR="0016716F" w:rsidRPr="007C6C48" w:rsidRDefault="0016716F" w:rsidP="0016716F">
      <w:pPr>
        <w:rPr>
          <w:rFonts w:ascii="Roboto" w:hAnsi="Roboto"/>
          <w:highlight w:val="yellow"/>
        </w:rPr>
      </w:pPr>
    </w:p>
    <w:p w14:paraId="1F349521" w14:textId="261E5F20" w:rsidR="0016716F" w:rsidRPr="007C6C48" w:rsidRDefault="0016716F" w:rsidP="0016716F">
      <w:pPr>
        <w:pStyle w:val="NoSpacing"/>
        <w:spacing w:after="0"/>
        <w:rPr>
          <w:rFonts w:ascii="Roboto" w:hAnsi="Roboto"/>
        </w:rPr>
      </w:pPr>
      <w:bookmarkStart w:id="13" w:name="_Ref152014283"/>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10</w:t>
      </w:r>
      <w:r w:rsidR="006A647B" w:rsidRPr="007C6C48">
        <w:rPr>
          <w:rFonts w:ascii="Roboto" w:hAnsi="Roboto"/>
          <w:noProof/>
        </w:rPr>
        <w:fldChar w:fldCharType="end"/>
      </w:r>
      <w:bookmarkEnd w:id="13"/>
      <w:r w:rsidRPr="007C6C48">
        <w:rPr>
          <w:rFonts w:ascii="Roboto" w:hAnsi="Roboto"/>
          <w:noProof/>
        </w:rPr>
        <w:t>.</w:t>
      </w:r>
      <w:r w:rsidRPr="007C6C48">
        <w:rPr>
          <w:rFonts w:ascii="Roboto" w:hAnsi="Roboto"/>
        </w:rPr>
        <w:t xml:space="preserve"> Sulfide, anhydrite, and graphite saturation conditions and their calibration ranges.</w:t>
      </w:r>
    </w:p>
    <w:tbl>
      <w:tblPr>
        <w:tblStyle w:val="TableGrid"/>
        <w:tblW w:w="0" w:type="auto"/>
        <w:tblLook w:val="04A0" w:firstRow="1" w:lastRow="0" w:firstColumn="1" w:lastColumn="0" w:noHBand="0" w:noVBand="1"/>
      </w:tblPr>
      <w:tblGrid>
        <w:gridCol w:w="1214"/>
        <w:gridCol w:w="913"/>
        <w:gridCol w:w="1048"/>
        <w:gridCol w:w="1611"/>
        <w:gridCol w:w="1878"/>
        <w:gridCol w:w="2352"/>
      </w:tblGrid>
      <w:tr w:rsidR="0025121F" w:rsidRPr="007C6C48" w14:paraId="294D089E" w14:textId="77777777" w:rsidTr="00B45276">
        <w:tc>
          <w:tcPr>
            <w:tcW w:w="1136" w:type="dxa"/>
            <w:tcBorders>
              <w:top w:val="single" w:sz="8" w:space="0" w:color="auto"/>
              <w:bottom w:val="single" w:sz="8" w:space="0" w:color="auto"/>
            </w:tcBorders>
            <w:vAlign w:val="center"/>
          </w:tcPr>
          <w:p w14:paraId="3F49E08A" w14:textId="77777777" w:rsidR="0025121F" w:rsidRPr="007C6C48" w:rsidRDefault="0025121F" w:rsidP="00025882">
            <w:pPr>
              <w:pStyle w:val="NoSpacing"/>
              <w:spacing w:after="0"/>
              <w:jc w:val="center"/>
              <w:rPr>
                <w:rFonts w:ascii="Roboto" w:hAnsi="Roboto"/>
              </w:rPr>
            </w:pPr>
            <w:r w:rsidRPr="007C6C48">
              <w:rPr>
                <w:rFonts w:ascii="Roboto" w:hAnsi="Roboto"/>
              </w:rPr>
              <w:t>Variables</w:t>
            </w:r>
          </w:p>
        </w:tc>
        <w:tc>
          <w:tcPr>
            <w:tcW w:w="827" w:type="dxa"/>
            <w:tcBorders>
              <w:top w:val="single" w:sz="8" w:space="0" w:color="auto"/>
              <w:bottom w:val="single" w:sz="8" w:space="0" w:color="auto"/>
            </w:tcBorders>
            <w:vAlign w:val="center"/>
          </w:tcPr>
          <w:p w14:paraId="1037E7E6" w14:textId="77777777" w:rsidR="0025121F" w:rsidRPr="007C6C48" w:rsidRDefault="0025121F" w:rsidP="00025882">
            <w:pPr>
              <w:pStyle w:val="NoSpacing"/>
              <w:spacing w:after="0"/>
              <w:jc w:val="center"/>
              <w:rPr>
                <w:rFonts w:ascii="Roboto" w:hAnsi="Roboto"/>
              </w:rPr>
            </w:pPr>
            <w:r w:rsidRPr="007C6C48">
              <w:rPr>
                <w:rFonts w:ascii="Roboto" w:hAnsi="Roboto"/>
              </w:rPr>
              <w:t>T (°C)</w:t>
            </w:r>
          </w:p>
        </w:tc>
        <w:tc>
          <w:tcPr>
            <w:tcW w:w="960" w:type="dxa"/>
            <w:tcBorders>
              <w:top w:val="single" w:sz="8" w:space="0" w:color="auto"/>
              <w:bottom w:val="single" w:sz="8" w:space="0" w:color="auto"/>
            </w:tcBorders>
            <w:vAlign w:val="center"/>
          </w:tcPr>
          <w:p w14:paraId="4BC82D42" w14:textId="77777777" w:rsidR="0025121F" w:rsidRPr="007C6C48" w:rsidRDefault="0025121F" w:rsidP="00025882">
            <w:pPr>
              <w:pStyle w:val="NoSpacing"/>
              <w:spacing w:after="0"/>
              <w:jc w:val="center"/>
              <w:rPr>
                <w:rFonts w:ascii="Roboto" w:hAnsi="Roboto"/>
              </w:rPr>
            </w:pPr>
            <w:r w:rsidRPr="007C6C48">
              <w:rPr>
                <w:rFonts w:ascii="Roboto" w:hAnsi="Roboto"/>
              </w:rPr>
              <w:t>P (bars)</w:t>
            </w:r>
          </w:p>
        </w:tc>
        <w:tc>
          <w:tcPr>
            <w:tcW w:w="1620" w:type="dxa"/>
            <w:tcBorders>
              <w:top w:val="single" w:sz="8" w:space="0" w:color="auto"/>
              <w:bottom w:val="single" w:sz="8" w:space="0" w:color="auto"/>
            </w:tcBorders>
            <w:vAlign w:val="center"/>
          </w:tcPr>
          <w:p w14:paraId="597D1A7C" w14:textId="77777777" w:rsidR="0025121F" w:rsidRPr="007C6C48" w:rsidRDefault="0025121F" w:rsidP="00025882">
            <w:pPr>
              <w:pStyle w:val="NoSpacing"/>
              <w:spacing w:after="0"/>
              <w:jc w:val="center"/>
              <w:rPr>
                <w:rFonts w:ascii="Roboto" w:hAnsi="Roboto"/>
              </w:rPr>
            </w:pPr>
            <w:r w:rsidRPr="007C6C48">
              <w:rPr>
                <w:rFonts w:ascii="Roboto" w:hAnsi="Roboto"/>
              </w:rPr>
              <w:t>Composition</w:t>
            </w:r>
          </w:p>
        </w:tc>
        <w:tc>
          <w:tcPr>
            <w:tcW w:w="1894" w:type="dxa"/>
            <w:tcBorders>
              <w:top w:val="single" w:sz="8" w:space="0" w:color="auto"/>
              <w:bottom w:val="single" w:sz="8" w:space="0" w:color="auto"/>
            </w:tcBorders>
            <w:vAlign w:val="center"/>
          </w:tcPr>
          <w:p w14:paraId="38C3D5B2" w14:textId="011822B5" w:rsidR="0025121F" w:rsidRPr="007C6C48" w:rsidRDefault="0025121F" w:rsidP="00025882">
            <w:pPr>
              <w:pStyle w:val="NoSpacing"/>
              <w:spacing w:after="0"/>
              <w:jc w:val="center"/>
              <w:rPr>
                <w:rFonts w:ascii="Roboto" w:hAnsi="Roboto"/>
              </w:rPr>
            </w:pPr>
            <w:r w:rsidRPr="007C6C48">
              <w:rPr>
                <w:rFonts w:ascii="Roboto" w:hAnsi="Roboto"/>
              </w:rPr>
              <w:t>Benchmark</w:t>
            </w:r>
          </w:p>
        </w:tc>
        <w:tc>
          <w:tcPr>
            <w:tcW w:w="2579" w:type="dxa"/>
            <w:tcBorders>
              <w:top w:val="single" w:sz="8" w:space="0" w:color="auto"/>
              <w:bottom w:val="single" w:sz="8" w:space="0" w:color="auto"/>
            </w:tcBorders>
            <w:vAlign w:val="center"/>
          </w:tcPr>
          <w:p w14:paraId="2F6DFB43" w14:textId="0BCC541F" w:rsidR="0025121F" w:rsidRPr="007C6C48" w:rsidRDefault="0025121F" w:rsidP="00025882">
            <w:pPr>
              <w:pStyle w:val="NoSpacing"/>
              <w:spacing w:after="0"/>
              <w:jc w:val="center"/>
              <w:rPr>
                <w:rFonts w:ascii="Roboto" w:hAnsi="Roboto"/>
                <w:highlight w:val="yellow"/>
              </w:rPr>
            </w:pPr>
            <w:r w:rsidRPr="007C6C48">
              <w:rPr>
                <w:rFonts w:ascii="Roboto" w:hAnsi="Roboto"/>
              </w:rPr>
              <w:t>Reference</w:t>
            </w:r>
          </w:p>
        </w:tc>
      </w:tr>
      <w:tr w:rsidR="0025121F" w:rsidRPr="007C6C48" w14:paraId="230B3F69" w14:textId="77777777" w:rsidTr="00025882">
        <w:tc>
          <w:tcPr>
            <w:tcW w:w="9016" w:type="dxa"/>
            <w:gridSpan w:val="6"/>
            <w:tcBorders>
              <w:top w:val="single" w:sz="8" w:space="0" w:color="auto"/>
            </w:tcBorders>
            <w:shd w:val="clear" w:color="auto" w:fill="E7E6E6" w:themeFill="background2"/>
          </w:tcPr>
          <w:p w14:paraId="0B504F9F" w14:textId="4BE9DC7D" w:rsidR="0025121F" w:rsidRPr="007C6C48" w:rsidRDefault="0025121F" w:rsidP="00B061FC">
            <w:pPr>
              <w:pStyle w:val="NoSpacing"/>
              <w:spacing w:after="0"/>
              <w:rPr>
                <w:rFonts w:ascii="Roboto" w:hAnsi="Roboto"/>
                <w:highlight w:val="yellow"/>
              </w:rPr>
            </w:pPr>
            <w:r w:rsidRPr="007C6C48">
              <w:rPr>
                <w:rFonts w:ascii="Roboto" w:hAnsi="Roboto"/>
              </w:rPr>
              <w:t>Sulfide content at sulfide saturation*</w:t>
            </w:r>
          </w:p>
        </w:tc>
      </w:tr>
      <w:tr w:rsidR="0025121F" w:rsidRPr="007C6C48" w14:paraId="5D4C74C1" w14:textId="77777777" w:rsidTr="00B45276">
        <w:tc>
          <w:tcPr>
            <w:tcW w:w="1136" w:type="dxa"/>
            <w:tcBorders>
              <w:top w:val="single" w:sz="8" w:space="0" w:color="auto"/>
            </w:tcBorders>
          </w:tcPr>
          <w:p w14:paraId="018C5EEA"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sulf</w:t>
            </w:r>
          </w:p>
        </w:tc>
        <w:tc>
          <w:tcPr>
            <w:tcW w:w="827" w:type="dxa"/>
            <w:tcBorders>
              <w:top w:val="single" w:sz="8" w:space="0" w:color="auto"/>
            </w:tcBorders>
          </w:tcPr>
          <w:p w14:paraId="0121DA3A" w14:textId="77777777" w:rsidR="0025121F" w:rsidRPr="007C6C48" w:rsidRDefault="0025121F" w:rsidP="00B061FC">
            <w:pPr>
              <w:pStyle w:val="NoSpacing"/>
              <w:spacing w:after="0"/>
              <w:jc w:val="right"/>
              <w:rPr>
                <w:rFonts w:ascii="Roboto" w:hAnsi="Roboto"/>
              </w:rPr>
            </w:pPr>
            <w:r w:rsidRPr="007C6C48">
              <w:rPr>
                <w:rFonts w:ascii="Roboto" w:hAnsi="Roboto"/>
              </w:rPr>
              <w:t xml:space="preserve">1150–1800  </w:t>
            </w:r>
          </w:p>
        </w:tc>
        <w:tc>
          <w:tcPr>
            <w:tcW w:w="960" w:type="dxa"/>
            <w:tcBorders>
              <w:top w:val="single" w:sz="8" w:space="0" w:color="auto"/>
            </w:tcBorders>
          </w:tcPr>
          <w:p w14:paraId="0ABDA4CA" w14:textId="77777777" w:rsidR="0025121F" w:rsidRPr="007C6C48" w:rsidRDefault="0025121F" w:rsidP="00B061FC">
            <w:pPr>
              <w:pStyle w:val="NoSpacing"/>
              <w:spacing w:after="0"/>
              <w:jc w:val="right"/>
              <w:rPr>
                <w:rFonts w:ascii="Roboto" w:hAnsi="Roboto"/>
              </w:rPr>
            </w:pPr>
            <w:r w:rsidRPr="007C6C48">
              <w:rPr>
                <w:rFonts w:ascii="Roboto" w:hAnsi="Roboto"/>
              </w:rPr>
              <w:t xml:space="preserve">1–55000 </w:t>
            </w:r>
          </w:p>
        </w:tc>
        <w:tc>
          <w:tcPr>
            <w:tcW w:w="1620" w:type="dxa"/>
            <w:tcBorders>
              <w:top w:val="single" w:sz="8" w:space="0" w:color="auto"/>
            </w:tcBorders>
          </w:tcPr>
          <w:p w14:paraId="28677D76" w14:textId="77777777" w:rsidR="0025121F" w:rsidRPr="007C6C48" w:rsidRDefault="0025121F" w:rsidP="00B061FC">
            <w:pPr>
              <w:pStyle w:val="NoSpacing"/>
              <w:spacing w:after="0"/>
              <w:rPr>
                <w:rFonts w:ascii="Roboto" w:hAnsi="Roboto"/>
              </w:rPr>
            </w:pPr>
            <w:r w:rsidRPr="007C6C48">
              <w:rPr>
                <w:rFonts w:ascii="Roboto" w:hAnsi="Roboto"/>
              </w:rPr>
              <w:t>Anhydrous basalt to rhyolite</w:t>
            </w:r>
          </w:p>
        </w:tc>
        <w:tc>
          <w:tcPr>
            <w:tcW w:w="1894" w:type="dxa"/>
            <w:tcBorders>
              <w:top w:val="single" w:sz="8" w:space="0" w:color="auto"/>
            </w:tcBorders>
          </w:tcPr>
          <w:p w14:paraId="051C7B51" w14:textId="5756955F" w:rsidR="0025121F" w:rsidRPr="007C6C48" w:rsidRDefault="00CA1CED" w:rsidP="00B061FC">
            <w:pPr>
              <w:pStyle w:val="NoSpacing"/>
              <w:spacing w:after="0"/>
              <w:rPr>
                <w:rFonts w:ascii="Roboto" w:hAnsi="Roboto"/>
              </w:rPr>
            </w:pPr>
            <w:r w:rsidRPr="007C6C48">
              <w:rPr>
                <w:rFonts w:ascii="Roboto" w:hAnsi="Roboto"/>
              </w:rPr>
              <w:t>Supplementary spreadsheet</w:t>
            </w:r>
          </w:p>
        </w:tc>
        <w:tc>
          <w:tcPr>
            <w:tcW w:w="2579" w:type="dxa"/>
            <w:tcBorders>
              <w:top w:val="single" w:sz="8" w:space="0" w:color="auto"/>
            </w:tcBorders>
          </w:tcPr>
          <w:p w14:paraId="2544D92E" w14:textId="0C35C03C" w:rsidR="0025121F" w:rsidRPr="007C6C48" w:rsidRDefault="0025121F" w:rsidP="00B061FC">
            <w:pPr>
              <w:pStyle w:val="NoSpacing"/>
              <w:spacing w:after="0"/>
              <w:rPr>
                <w:rFonts w:ascii="Roboto" w:hAnsi="Roboto"/>
                <w:highlight w:val="yellow"/>
              </w:rPr>
            </w:pPr>
            <w:r w:rsidRPr="007C6C48">
              <w:rPr>
                <w:rFonts w:ascii="Roboto" w:hAnsi="Roboto"/>
              </w:rPr>
              <w:t xml:space="preserve">Eq. (10.34, 10.43, 10.45, 10.46) in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r w:rsidRPr="007C6C48">
              <w:rPr>
                <w:rFonts w:ascii="Roboto" w:hAnsi="Roboto"/>
                <w:color w:val="000000" w:themeColor="text1"/>
              </w:rPr>
              <w:t xml:space="preserve"> (with or without dilution from H</w:t>
            </w:r>
            <w:r w:rsidRPr="007C6C48">
              <w:rPr>
                <w:rFonts w:ascii="Roboto" w:hAnsi="Roboto"/>
                <w:color w:val="000000" w:themeColor="text1"/>
                <w:vertAlign w:val="subscript"/>
              </w:rPr>
              <w:t>2</w:t>
            </w:r>
            <w:r w:rsidRPr="007C6C48">
              <w:rPr>
                <w:rFonts w:ascii="Roboto" w:hAnsi="Roboto"/>
                <w:color w:val="000000" w:themeColor="text1"/>
              </w:rPr>
              <w:t xml:space="preserve">O) (option to use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5121F" w:rsidRPr="007C6C48" w14:paraId="5866EB6C" w14:textId="77777777" w:rsidTr="00B45276">
        <w:tc>
          <w:tcPr>
            <w:tcW w:w="1136" w:type="dxa"/>
          </w:tcPr>
          <w:p w14:paraId="5927EF0C"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 xml:space="preserve">O </w:t>
            </w:r>
            <w:r w:rsidRPr="007C6C48">
              <w:rPr>
                <w:rFonts w:ascii="Roboto" w:hAnsi="Roboto"/>
                <w:i/>
                <w:iCs/>
                <w:color w:val="000000" w:themeColor="text1"/>
              </w:rPr>
              <w:t>X</w:t>
            </w:r>
            <w:r w:rsidRPr="007C6C48">
              <w:rPr>
                <w:rFonts w:ascii="Roboto" w:hAnsi="Roboto"/>
                <w:color w:val="000000" w:themeColor="text1"/>
                <w:vertAlign w:val="subscript"/>
              </w:rPr>
              <w:t>sulf</w:t>
            </w:r>
          </w:p>
        </w:tc>
        <w:tc>
          <w:tcPr>
            <w:tcW w:w="827" w:type="dxa"/>
          </w:tcPr>
          <w:p w14:paraId="6C0A7E84" w14:textId="77777777" w:rsidR="0025121F" w:rsidRPr="007C6C48" w:rsidRDefault="0025121F" w:rsidP="00B061FC">
            <w:pPr>
              <w:pStyle w:val="NoSpacing"/>
              <w:spacing w:after="0"/>
              <w:jc w:val="right"/>
              <w:rPr>
                <w:rFonts w:ascii="Roboto" w:hAnsi="Roboto"/>
              </w:rPr>
            </w:pPr>
            <w:r w:rsidRPr="007C6C48">
              <w:rPr>
                <w:rFonts w:ascii="Roboto" w:hAnsi="Roboto"/>
              </w:rPr>
              <w:t xml:space="preserve">1045–1800 </w:t>
            </w:r>
          </w:p>
        </w:tc>
        <w:tc>
          <w:tcPr>
            <w:tcW w:w="960" w:type="dxa"/>
          </w:tcPr>
          <w:p w14:paraId="69A48204" w14:textId="77777777" w:rsidR="0025121F" w:rsidRPr="007C6C48" w:rsidRDefault="0025121F" w:rsidP="00B061FC">
            <w:pPr>
              <w:pStyle w:val="NoSpacing"/>
              <w:spacing w:after="0"/>
              <w:jc w:val="right"/>
              <w:rPr>
                <w:rFonts w:ascii="Roboto" w:hAnsi="Roboto"/>
              </w:rPr>
            </w:pPr>
            <w:r w:rsidRPr="007C6C48">
              <w:rPr>
                <w:rFonts w:ascii="Roboto" w:hAnsi="Roboto"/>
              </w:rPr>
              <w:t xml:space="preserve">1–55000 </w:t>
            </w:r>
          </w:p>
        </w:tc>
        <w:tc>
          <w:tcPr>
            <w:tcW w:w="1620" w:type="dxa"/>
          </w:tcPr>
          <w:p w14:paraId="671CBB3A" w14:textId="77777777" w:rsidR="0025121F" w:rsidRPr="007C6C48" w:rsidRDefault="0025121F" w:rsidP="00B061FC">
            <w:pPr>
              <w:pStyle w:val="NoSpacing"/>
              <w:spacing w:after="0"/>
              <w:rPr>
                <w:rFonts w:ascii="Roboto" w:hAnsi="Roboto"/>
              </w:rPr>
            </w:pPr>
            <w:r w:rsidRPr="007C6C48">
              <w:rPr>
                <w:rFonts w:ascii="Roboto" w:hAnsi="Roboto"/>
              </w:rPr>
              <w:t>Hydrous basalt to rhyolite</w:t>
            </w:r>
          </w:p>
        </w:tc>
        <w:tc>
          <w:tcPr>
            <w:tcW w:w="1894" w:type="dxa"/>
          </w:tcPr>
          <w:p w14:paraId="72DF982E" w14:textId="6E4D5A0A" w:rsidR="0025121F" w:rsidRPr="007C6C48" w:rsidRDefault="00726532" w:rsidP="00B061FC">
            <w:pPr>
              <w:pStyle w:val="NoSpacing"/>
              <w:spacing w:after="0"/>
              <w:rPr>
                <w:rFonts w:ascii="Roboto" w:hAnsi="Roboto"/>
              </w:rPr>
            </w:pPr>
            <w:r w:rsidRPr="007C6C48">
              <w:rPr>
                <w:rFonts w:ascii="Roboto" w:hAnsi="Roboto"/>
              </w:rPr>
              <w:t>-</w:t>
            </w:r>
          </w:p>
        </w:tc>
        <w:tc>
          <w:tcPr>
            <w:tcW w:w="2579" w:type="dxa"/>
          </w:tcPr>
          <w:p w14:paraId="54478FDD" w14:textId="30B38AC6" w:rsidR="0025121F" w:rsidRPr="007C6C48" w:rsidRDefault="0025121F" w:rsidP="00B061FC">
            <w:pPr>
              <w:pStyle w:val="NoSpacing"/>
              <w:spacing w:after="0"/>
              <w:rPr>
                <w:rFonts w:ascii="Roboto" w:hAnsi="Roboto"/>
                <w:highlight w:val="yellow"/>
              </w:rPr>
            </w:pPr>
            <w:r w:rsidRPr="007C6C48">
              <w:rPr>
                <w:rFonts w:ascii="Roboto" w:hAnsi="Roboto"/>
              </w:rPr>
              <w:t xml:space="preserve">Eq. (10.34, 10.43, 10.45, 10.46, 10.49) in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p>
        </w:tc>
      </w:tr>
      <w:tr w:rsidR="0025121F" w:rsidRPr="007C6C48" w14:paraId="0651365D" w14:textId="77777777" w:rsidTr="00B45276">
        <w:tc>
          <w:tcPr>
            <w:tcW w:w="1136" w:type="dxa"/>
          </w:tcPr>
          <w:p w14:paraId="7F627BC7"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00337091" w14:textId="77777777" w:rsidR="0025121F" w:rsidRPr="007C6C48" w:rsidRDefault="0025121F" w:rsidP="00B061FC">
            <w:pPr>
              <w:pStyle w:val="NoSpacing"/>
              <w:spacing w:after="0"/>
              <w:jc w:val="right"/>
              <w:rPr>
                <w:rFonts w:ascii="Roboto" w:hAnsi="Roboto"/>
              </w:rPr>
            </w:pPr>
            <w:r w:rsidRPr="007C6C48">
              <w:rPr>
                <w:rFonts w:ascii="Roboto" w:hAnsi="Roboto"/>
              </w:rPr>
              <w:t xml:space="preserve">785–1500 </w:t>
            </w:r>
          </w:p>
        </w:tc>
        <w:tc>
          <w:tcPr>
            <w:tcW w:w="960" w:type="dxa"/>
          </w:tcPr>
          <w:p w14:paraId="5072141C" w14:textId="77777777" w:rsidR="0025121F" w:rsidRPr="007C6C48" w:rsidRDefault="0025121F" w:rsidP="00B061FC">
            <w:pPr>
              <w:pStyle w:val="NoSpacing"/>
              <w:spacing w:after="0"/>
              <w:jc w:val="right"/>
              <w:rPr>
                <w:rFonts w:ascii="Roboto" w:hAnsi="Roboto"/>
              </w:rPr>
            </w:pPr>
            <w:r w:rsidRPr="007C6C48">
              <w:rPr>
                <w:rFonts w:ascii="Roboto" w:hAnsi="Roboto"/>
              </w:rPr>
              <w:t>1–20000</w:t>
            </w:r>
          </w:p>
        </w:tc>
        <w:tc>
          <w:tcPr>
            <w:tcW w:w="1620" w:type="dxa"/>
          </w:tcPr>
          <w:p w14:paraId="437A612C" w14:textId="77777777" w:rsidR="0025121F" w:rsidRPr="007C6C48" w:rsidRDefault="0025121F" w:rsidP="00B061FC">
            <w:pPr>
              <w:pStyle w:val="NoSpacing"/>
              <w:spacing w:after="0"/>
              <w:rPr>
                <w:rFonts w:ascii="Roboto" w:hAnsi="Roboto"/>
              </w:rPr>
            </w:pPr>
            <w:r w:rsidRPr="007C6C48">
              <w:rPr>
                <w:rFonts w:ascii="Roboto" w:hAnsi="Roboto"/>
              </w:rPr>
              <w:t>Hydrous basalt to rhyolite</w:t>
            </w:r>
          </w:p>
        </w:tc>
        <w:tc>
          <w:tcPr>
            <w:tcW w:w="1894" w:type="dxa"/>
          </w:tcPr>
          <w:p w14:paraId="1210AE72" w14:textId="18238D55" w:rsidR="0025121F" w:rsidRPr="007C6C48" w:rsidRDefault="00726532" w:rsidP="00B061FC">
            <w:pPr>
              <w:pStyle w:val="NoSpacing"/>
              <w:spacing w:after="0"/>
              <w:rPr>
                <w:rFonts w:ascii="Roboto" w:hAnsi="Roboto"/>
              </w:rPr>
            </w:pPr>
            <w:r w:rsidRPr="007C6C48">
              <w:rPr>
                <w:rFonts w:ascii="Roboto" w:hAnsi="Roboto"/>
              </w:rPr>
              <w:t>-</w:t>
            </w:r>
          </w:p>
        </w:tc>
        <w:tc>
          <w:tcPr>
            <w:tcW w:w="2579" w:type="dxa"/>
          </w:tcPr>
          <w:p w14:paraId="48EEA588" w14:textId="06DE1D24" w:rsidR="0025121F" w:rsidRPr="007C6C48" w:rsidRDefault="0025121F" w:rsidP="00B061FC">
            <w:pPr>
              <w:pStyle w:val="NoSpacing"/>
              <w:spacing w:after="0"/>
              <w:rPr>
                <w:rFonts w:ascii="Roboto" w:hAnsi="Roboto"/>
                <w:color w:val="000000" w:themeColor="text1"/>
              </w:rPr>
            </w:pPr>
            <w:r w:rsidRPr="007C6C48">
              <w:rPr>
                <w:rFonts w:ascii="Roboto" w:hAnsi="Roboto"/>
              </w:rPr>
              <w:t xml:space="preserve">Eq. (9) in </w:t>
            </w:r>
            <w:r w:rsidRPr="007C6C48">
              <w:rPr>
                <w:rFonts w:ascii="Roboto" w:hAnsi="Roboto"/>
              </w:rPr>
              <w:fldChar w:fldCharType="begin" w:fldLock="1"/>
            </w:r>
            <w:r w:rsidRPr="007C6C48">
              <w:rPr>
                <w:rFonts w:ascii="Roboto" w:hAnsi="Roboto"/>
              </w:rPr>
              <w:instrText xml:space="preserve">ADDIN CSL_CITATION {"citationItems":[{"id":"ITEM-1","itemData":{"DOI":"10.1016/J.GCA.2007.01.004","ISSN":"0016-7037","abstract":"The sulfur concentration in silicate melts at sulfide saturation (SCSS) was experimentally investigated in a temperature range from 1150 to 1450 °C and a pressure range from 500 MPa to 1 GPa in a piston-cylinder apparatus. The investigated melt compositions varied from rhyolitic to basaltic and water concentrations varied from 0 to </w:instrText>
            </w:r>
            <w:r w:rsidRPr="007C6C48">
              <w:rPr>
                <w:rFonts w:ascii="Cambria Math" w:hAnsi="Cambria Math" w:cs="Cambria Math"/>
              </w:rPr>
              <w:instrText>∼</w:instrText>
            </w:r>
            <w:r w:rsidRPr="007C6C48">
              <w:rPr>
                <w:rFonts w:ascii="Roboto" w:hAnsi="Roboto"/>
              </w:rPr>
              <w:instrText xml:space="preserve">9 wt%. All experiments were saturated with FeS melt or pyrrhotite crystals. Temperature was confirmed to have a positive effect on the SCSS. Experimental oxygen fugacities were either near the carbon-carbon monoxide buffer or one log unit above the nickel-nickel oxide buffer, and found to positively affect the SCSS. Combining our results with data from the literature we constructed a model to predict the SCSS in melts ranging in composition from komatiitic to rhyolitic, with water concentrations from 0 to 9 wt%, at pressures from 1 bar to 9 GPa and oxygen fugacities between </w:instrText>
            </w:r>
            <w:r w:rsidRPr="007C6C48">
              <w:rPr>
                <w:rFonts w:ascii="Cambria Math" w:hAnsi="Cambria Math" w:cs="Cambria Math"/>
              </w:rPr>
              <w:instrText>∼</w:instrText>
            </w:r>
            <w:r w:rsidRPr="007C6C48">
              <w:rPr>
                <w:rFonts w:ascii="Roboto" w:hAnsi="Roboto"/>
              </w:rPr>
              <w:instrText xml:space="preserve">2 log units below the fayalite-magnetite-quartz buffer to </w:instrText>
            </w:r>
            <w:r w:rsidRPr="007C6C48">
              <w:rPr>
                <w:rFonts w:ascii="Cambria Math" w:hAnsi="Cambria Math" w:cs="Cambria Math"/>
              </w:rPr>
              <w:instrText>∼</w:instrText>
            </w:r>
            <w:r w:rsidRPr="007C6C48">
              <w:rPr>
                <w:rFonts w:ascii="Roboto" w:hAnsi="Roboto"/>
              </w:rPr>
              <w:instrText>2 log units above it. The coefficients were obtained by multiple linear regression of experimental data and the best model found for the prediction of the SCSS is:{Mathematical expression}where P is in bar, T is in K, MFM is a compositional parameter describing the melt based upon cation mole fractions:MFM = frac(Na + K + 2 (Ca + Mg + Fe2 +), Si × (Al + Fe3 +)),XH2 Omelt is the mole fraction of water in the melt, and XFeOmelt is the mole fraction of FeO in the melt. This model was independently tested against experiments performed on anhydrous and hydrous melts in the temperature range from 800 to 1800 °C and 1-9 GPa. The model typically predicts the measured values of the natural log of the SCSS (in ppm) for komatiitic to rhyolitic (</w:instrText>
            </w:r>
            <w:r w:rsidRPr="007C6C48">
              <w:rPr>
                <w:rFonts w:ascii="Cambria Math" w:hAnsi="Cambria Math" w:cs="Cambria Math"/>
              </w:rPr>
              <w:instrText>∼</w:instrText>
            </w:r>
            <w:r w:rsidRPr="007C6C48">
              <w:rPr>
                <w:rFonts w:ascii="Roboto" w:hAnsi="Roboto"/>
              </w:rPr>
              <w:instrText xml:space="preserve">42 to </w:instrText>
            </w:r>
            <w:r w:rsidRPr="007C6C48">
              <w:rPr>
                <w:rFonts w:ascii="Cambria Math" w:hAnsi="Cambria Math" w:cs="Cambria Math"/>
              </w:rPr>
              <w:instrText>∼</w:instrText>
            </w:r>
            <w:r w:rsidRPr="007C6C48">
              <w:rPr>
                <w:rFonts w:ascii="Roboto" w:hAnsi="Roboto"/>
              </w:rPr>
              <w:instrText>74 wt% SiO2) melts to within 5% relative, but is less accurate for high-silica (&gt;76 wt% SiO2) rhyolites, especially those with molar ratios of iron to sulfur below 2. We demonstrate how this model can be used with the MELTS software to calculate the saturation of natural magmas with a sulfide phase and evolution of the SCSS during magmatic differentiation. © 2007 Elsevier Ltd. All rights reserved.","author":[{"dropping-particle":"","family":"Liu","given":"Yanan","non-dropping-particle":"","parse-names":false,"suffix":""},{"dropping-particle":"","family":"Samaha","given":"Naji Tom","non-dropping-particle":"","parse-names":false,"suffix":""},{"dropping-particle":"","family":"Baker","given":"Don R.","non-dropping-particle":"","parse-names":false,"suffix":""}],"container-title":"Geochimica et Cosmochimica Acta","id":"ITEM-1","issue":"7","issued":{"date-parts":[["2007","4","1"]]},"page":"1783-1799","publisher":"Pergamon","title":"Sulfur concentration at sulfide saturation (SCSS) in magmatic silicate melts","type":"article-journal","volume":"71"},"uris":["http://www.mendeley.com/documents/?uuid=cb020a68-a177-3184-bf96-e3d35d276c6f"]}],"mendeley":{"formattedCitation":"(Liu et al., 2007)","manualFormatting":"Liu et al. (2007)","plainTextFormattedCitation":"(Liu et al., 2007)","previouslyFormattedCitation":"(Liu et al., 2007)"},"properties":{"noteIndex":0},"schema":"https://github.com/citation-style-language/schema/raw/master/csl-citation.json"}</w:instrText>
            </w:r>
            <w:r w:rsidRPr="007C6C48">
              <w:rPr>
                <w:rFonts w:ascii="Roboto" w:hAnsi="Roboto"/>
              </w:rPr>
              <w:fldChar w:fldCharType="separate"/>
            </w:r>
            <w:r w:rsidRPr="007C6C48">
              <w:rPr>
                <w:rFonts w:ascii="Roboto" w:hAnsi="Roboto"/>
                <w:noProof/>
              </w:rPr>
              <w:t>Liu et al. (2007)</w:t>
            </w:r>
            <w:r w:rsidRPr="007C6C48">
              <w:rPr>
                <w:rFonts w:ascii="Roboto" w:hAnsi="Roboto"/>
              </w:rPr>
              <w:fldChar w:fldCharType="end"/>
            </w:r>
          </w:p>
        </w:tc>
      </w:tr>
      <w:tr w:rsidR="0025121F" w:rsidRPr="007C6C48" w14:paraId="565FDF53" w14:textId="77777777" w:rsidTr="00B45276">
        <w:tc>
          <w:tcPr>
            <w:tcW w:w="1136" w:type="dxa"/>
          </w:tcPr>
          <w:p w14:paraId="749F4D19"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1E5DA495" w14:textId="77777777" w:rsidR="0025121F" w:rsidRPr="007C6C48" w:rsidRDefault="0025121F" w:rsidP="00B061FC">
            <w:pPr>
              <w:pStyle w:val="NoSpacing"/>
              <w:spacing w:after="0"/>
              <w:jc w:val="right"/>
              <w:rPr>
                <w:rFonts w:ascii="Roboto" w:hAnsi="Roboto"/>
              </w:rPr>
            </w:pPr>
            <w:r w:rsidRPr="007C6C48">
              <w:rPr>
                <w:rFonts w:ascii="Roboto" w:hAnsi="Roboto"/>
              </w:rPr>
              <w:t xml:space="preserve">1050–1800 </w:t>
            </w:r>
          </w:p>
        </w:tc>
        <w:tc>
          <w:tcPr>
            <w:tcW w:w="960" w:type="dxa"/>
          </w:tcPr>
          <w:p w14:paraId="097F9C35" w14:textId="77777777" w:rsidR="0025121F" w:rsidRPr="007C6C48" w:rsidRDefault="0025121F" w:rsidP="00B061FC">
            <w:pPr>
              <w:pStyle w:val="NoSpacing"/>
              <w:spacing w:after="0"/>
              <w:jc w:val="right"/>
              <w:rPr>
                <w:rFonts w:ascii="Roboto" w:hAnsi="Roboto"/>
              </w:rPr>
            </w:pPr>
            <w:r w:rsidRPr="007C6C48">
              <w:rPr>
                <w:rFonts w:ascii="Roboto" w:hAnsi="Roboto"/>
              </w:rPr>
              <w:t>1–90000</w:t>
            </w:r>
          </w:p>
        </w:tc>
        <w:tc>
          <w:tcPr>
            <w:tcW w:w="1620" w:type="dxa"/>
          </w:tcPr>
          <w:p w14:paraId="7F9859F1" w14:textId="77777777" w:rsidR="0025121F" w:rsidRPr="007C6C48" w:rsidRDefault="0025121F" w:rsidP="00B061FC">
            <w:pPr>
              <w:pStyle w:val="NoSpacing"/>
              <w:spacing w:after="0"/>
              <w:rPr>
                <w:rFonts w:ascii="Roboto" w:hAnsi="Roboto"/>
              </w:rPr>
            </w:pPr>
            <w:r w:rsidRPr="007C6C48">
              <w:rPr>
                <w:rFonts w:ascii="Roboto" w:hAnsi="Roboto"/>
              </w:rPr>
              <w:t>Hydrous Basalt to rhyolite</w:t>
            </w:r>
          </w:p>
        </w:tc>
        <w:tc>
          <w:tcPr>
            <w:tcW w:w="1894" w:type="dxa"/>
          </w:tcPr>
          <w:p w14:paraId="326A6090" w14:textId="66A687FD" w:rsidR="0025121F" w:rsidRPr="007C6C48" w:rsidRDefault="00EF340F" w:rsidP="00B061FC">
            <w:pPr>
              <w:pStyle w:val="NoSpacing"/>
              <w:spacing w:after="0"/>
              <w:rPr>
                <w:rFonts w:ascii="Roboto" w:hAnsi="Roboto"/>
              </w:rPr>
            </w:pPr>
            <w:r w:rsidRPr="007C6C48">
              <w:rPr>
                <w:rFonts w:ascii="Roboto" w:hAnsi="Roboto"/>
              </w:rPr>
              <w:t>B</w:t>
            </w:r>
            <w:r w:rsidR="00DF4ABB" w:rsidRPr="007C6C48">
              <w:rPr>
                <w:rFonts w:ascii="Roboto" w:hAnsi="Roboto"/>
              </w:rPr>
              <w:t>y PySulfSat</w:t>
            </w:r>
          </w:p>
        </w:tc>
        <w:tc>
          <w:tcPr>
            <w:tcW w:w="2579" w:type="dxa"/>
          </w:tcPr>
          <w:p w14:paraId="12BF77B4" w14:textId="283CAD9C" w:rsidR="0025121F" w:rsidRPr="007C6C48" w:rsidRDefault="0025121F" w:rsidP="00B061FC">
            <w:pPr>
              <w:pStyle w:val="NoSpacing"/>
              <w:spacing w:after="0"/>
              <w:rPr>
                <w:rFonts w:ascii="Roboto" w:hAnsi="Roboto"/>
              </w:rPr>
            </w:pPr>
            <w:r w:rsidRPr="007C6C48">
              <w:rPr>
                <w:rFonts w:ascii="Roboto" w:hAnsi="Roboto"/>
              </w:rPr>
              <w:t xml:space="preserve">Eq. (7) </w:t>
            </w:r>
            <w:r w:rsidR="00726532" w:rsidRPr="007C6C48">
              <w:rPr>
                <w:rFonts w:ascii="Roboto" w:hAnsi="Roboto"/>
              </w:rPr>
              <w:t xml:space="preserve">in </w:t>
            </w:r>
            <w:r w:rsidRPr="007C6C48">
              <w:rPr>
                <w:rFonts w:ascii="Roboto" w:hAnsi="Roboto"/>
              </w:rPr>
              <w:fldChar w:fldCharType="begin" w:fldLock="1"/>
            </w:r>
            <w:r w:rsidRPr="007C6C48">
              <w:rPr>
                <w:rFonts w:ascii="Roboto" w:hAnsi="Roboto"/>
              </w:rPr>
              <w:instrText>ADDIN CSL_CITATION {"citationItems":[{"id":"ITEM-1","itemData":{"DOI":"10.1016/J.GCA.2015.03.022","ISSN":"0016-7037","abstract":"We experimentally investigated the effect of water on the sulfur concentration at sulfide saturation (SCSS) in basaltic, andesitic, and rhyolitic melt compositions at 1250. °C, 1. GPa, and oxygen fugacities buffered at, or near, the graphite-carbon dioxide (CCO) buffer in a piston-cylinder apparatus. Water concentrations were measured in the sulfide-saturated melts using Raman spectroscopy. Experiments varied from anhydrous to 7.3. wt.% total dissolved water. The experiments demonstrate an increase in the SCSS of approximately 100. ppm per wt.% added water in all melt compositions. Combining these data with previous studies, two models for calculating the SCSS as a function of temperature, pressure, melt composition, and total dissolved water were created. The first model, Model A, incorporates the effect of oxygen fugacity in the melt composition by discriminating between ferric and ferrous iron and uses a generalized composition parameter, the MFM value, to describe melt composition. The second model, Model B, uses total iron as FeO and the mole fractions of major oxides per 100. g of melt to describe the melt composition. We find that Model B reproduces the SCSS of our calibrating data set, as well as an independent test set and a natural, high-Ni data set, to within about 5% relative variation, significantly better than Model A and in almost all cases within measurement uncertainties. Model B also reproduces a test set of sulfide-saturated silicic melts with sulfur concentrations near the limit of detection by electron microprobe to within 20% relative. We thus favor the empirical mole fractions of major oxides approach, and present the following equation to calculate the SCSS: where T is the temperature in Kelvin, P is the pressure in GPa, and X are the mole fractions of oxides per 100. g of melt. The model is applicable at pressures from 1. atm to 5. GPa, temperatures from 1050 to 1800. °C, and total melt water concentrations from anhydrous to 7.3. wt.% in terrestrial melts from komatiitic to rhyolitic in composition. Model B is also applicable to Martian basaltic melts (which are included in the calibration data set) and to many lunar compositions, but not high-Ti mare basalts.","author":[{"dropping-particle":"","family":"Fortin","given":"Marc Antoine","non-dropping-particle":"","parse-names":false,"suffix":""},{"dropping-particle":"","family":"Riddle","given":"Jacqueline","non-dropping-particle":"","parse-names":false,"suffix":""},{"dropping-particle":"","family":"Desjardins-Langlais","given":"Yann","non-dropping-particle":"","parse-names":false,"suffix":""},{"dropping-particle":"","family":"Baker","given":"Don R.","non-dropping-particle":"","parse-names":false,"suffix":""}],"container-title":"Geochimica et Cosmochimica Acta","id":"ITEM-1","issued":{"date-parts":[["2015","7","1"]]},"page":"100-116","publisher":"Pergamon","title":"The effect of water on the sulfur concentration at sulfide saturation (SCSS) in natural melts","type":"article-journal","volume":"160"},"uris":["http://www.mendeley.com/documents/?uuid=67a2355d-d4b6-3b74-bab8-aa15964adf1b"]}],"mendeley":{"formattedCitation":"(Fortin et al., 2015)","manualFormatting":"Fortin et al. (2015)","plainTextFormattedCitation":"(Fortin et al., 2015)","previouslyFormattedCitation":"(Fortin et al., 2015)"},"properties":{"noteIndex":0},"schema":"https://github.com/citation-style-language/schema/raw/master/csl-citation.json"}</w:instrText>
            </w:r>
            <w:r w:rsidRPr="007C6C48">
              <w:rPr>
                <w:rFonts w:ascii="Roboto" w:hAnsi="Roboto"/>
              </w:rPr>
              <w:fldChar w:fldCharType="separate"/>
            </w:r>
            <w:r w:rsidRPr="007C6C48">
              <w:rPr>
                <w:rFonts w:ascii="Roboto" w:hAnsi="Roboto"/>
                <w:noProof/>
              </w:rPr>
              <w:t>Fortin et al. (2015)</w:t>
            </w:r>
            <w:r w:rsidRPr="007C6C48">
              <w:rPr>
                <w:rFonts w:ascii="Roboto" w:hAnsi="Roboto"/>
              </w:rPr>
              <w:fldChar w:fldCharType="end"/>
            </w:r>
            <w:r w:rsidRPr="007C6C48">
              <w:rPr>
                <w:rFonts w:ascii="Roboto" w:hAnsi="Roboto"/>
              </w:rPr>
              <w:t xml:space="preserve"> </w:t>
            </w:r>
            <w:r w:rsidRPr="007C6C48">
              <w:rPr>
                <w:rFonts w:ascii="Roboto" w:hAnsi="Roboto"/>
                <w:color w:val="000000" w:themeColor="text1"/>
              </w:rPr>
              <w:t>using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5121F" w:rsidRPr="007C6C48" w14:paraId="16B05B31" w14:textId="77777777" w:rsidTr="00B45276">
        <w:tc>
          <w:tcPr>
            <w:tcW w:w="1136" w:type="dxa"/>
          </w:tcPr>
          <w:p w14:paraId="37075010"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 xml:space="preserve">O, </w:t>
            </w:r>
            <w:r w:rsidRPr="007C6C48">
              <w:rPr>
                <w:rFonts w:ascii="Roboto" w:hAnsi="Roboto"/>
                <w:i/>
                <w:iCs/>
                <w:color w:val="000000" w:themeColor="text1"/>
              </w:rPr>
              <w:t>X</w:t>
            </w:r>
            <w:r w:rsidRPr="007C6C48">
              <w:rPr>
                <w:rFonts w:ascii="Roboto" w:hAnsi="Roboto"/>
                <w:color w:val="000000" w:themeColor="text1"/>
                <w:vertAlign w:val="subscript"/>
              </w:rPr>
              <w:t>sulf</w:t>
            </w:r>
          </w:p>
        </w:tc>
        <w:tc>
          <w:tcPr>
            <w:tcW w:w="827" w:type="dxa"/>
          </w:tcPr>
          <w:p w14:paraId="2E9758A5" w14:textId="77777777" w:rsidR="0025121F" w:rsidRPr="007C6C48" w:rsidRDefault="0025121F" w:rsidP="00B061FC">
            <w:pPr>
              <w:pStyle w:val="NoSpacing"/>
              <w:spacing w:after="0"/>
              <w:jc w:val="right"/>
              <w:rPr>
                <w:rFonts w:ascii="Roboto" w:hAnsi="Roboto"/>
              </w:rPr>
            </w:pPr>
            <w:r w:rsidRPr="007C6C48">
              <w:rPr>
                <w:rFonts w:ascii="Roboto" w:hAnsi="Roboto"/>
              </w:rPr>
              <w:t xml:space="preserve">1250–1400 </w:t>
            </w:r>
          </w:p>
        </w:tc>
        <w:tc>
          <w:tcPr>
            <w:tcW w:w="960" w:type="dxa"/>
          </w:tcPr>
          <w:p w14:paraId="7F307BD1" w14:textId="77777777" w:rsidR="0025121F" w:rsidRPr="007C6C48" w:rsidRDefault="0025121F" w:rsidP="00B061FC">
            <w:pPr>
              <w:pStyle w:val="NoSpacing"/>
              <w:spacing w:after="0"/>
              <w:jc w:val="right"/>
              <w:rPr>
                <w:rFonts w:ascii="Roboto" w:hAnsi="Roboto"/>
              </w:rPr>
            </w:pPr>
            <w:r w:rsidRPr="007C6C48">
              <w:rPr>
                <w:rFonts w:ascii="Roboto" w:hAnsi="Roboto"/>
              </w:rPr>
              <w:t>10000–25000</w:t>
            </w:r>
          </w:p>
        </w:tc>
        <w:tc>
          <w:tcPr>
            <w:tcW w:w="1620" w:type="dxa"/>
          </w:tcPr>
          <w:p w14:paraId="020B04E1" w14:textId="77777777" w:rsidR="0025121F" w:rsidRPr="007C6C48" w:rsidRDefault="0025121F" w:rsidP="00B061FC">
            <w:pPr>
              <w:pStyle w:val="NoSpacing"/>
              <w:spacing w:after="0"/>
              <w:rPr>
                <w:rFonts w:ascii="Roboto" w:hAnsi="Roboto"/>
              </w:rPr>
            </w:pPr>
            <w:r w:rsidRPr="007C6C48">
              <w:rPr>
                <w:rFonts w:ascii="Roboto" w:hAnsi="Roboto"/>
              </w:rPr>
              <w:t>Hydrous basalt</w:t>
            </w:r>
          </w:p>
        </w:tc>
        <w:tc>
          <w:tcPr>
            <w:tcW w:w="1894" w:type="dxa"/>
          </w:tcPr>
          <w:p w14:paraId="4DB90918" w14:textId="059F9025" w:rsidR="0025121F" w:rsidRPr="007C6C48" w:rsidRDefault="00EF340F" w:rsidP="00B061FC">
            <w:pPr>
              <w:pStyle w:val="NoSpacing"/>
              <w:spacing w:after="0"/>
              <w:rPr>
                <w:rFonts w:ascii="Roboto" w:hAnsi="Roboto"/>
              </w:rPr>
            </w:pPr>
            <w:r w:rsidRPr="007C6C48">
              <w:rPr>
                <w:rFonts w:ascii="Roboto" w:hAnsi="Roboto"/>
              </w:rPr>
              <w:t>B</w:t>
            </w:r>
            <w:r w:rsidR="00DF4ABB" w:rsidRPr="007C6C48">
              <w:rPr>
                <w:rFonts w:ascii="Roboto" w:hAnsi="Roboto"/>
              </w:rPr>
              <w:t>y PySulfSat</w:t>
            </w:r>
          </w:p>
        </w:tc>
        <w:tc>
          <w:tcPr>
            <w:tcW w:w="2579" w:type="dxa"/>
          </w:tcPr>
          <w:p w14:paraId="7BC6DA44" w14:textId="7485660D" w:rsidR="0025121F" w:rsidRPr="007C6C48" w:rsidRDefault="0025121F" w:rsidP="00B061FC">
            <w:pPr>
              <w:pStyle w:val="NoSpacing"/>
              <w:spacing w:after="0"/>
              <w:rPr>
                <w:rFonts w:ascii="Roboto" w:hAnsi="Roboto"/>
              </w:rPr>
            </w:pPr>
            <w:r w:rsidRPr="007C6C48">
              <w:rPr>
                <w:rFonts w:ascii="Roboto" w:hAnsi="Roboto"/>
              </w:rPr>
              <w:t xml:space="preserve">Eq. (2) </w:t>
            </w:r>
            <w:r w:rsidR="00726532" w:rsidRPr="007C6C48">
              <w:rPr>
                <w:rFonts w:ascii="Roboto" w:hAnsi="Roboto"/>
              </w:rPr>
              <w:t xml:space="preserve">in </w:t>
            </w:r>
            <w:r w:rsidRPr="007C6C48">
              <w:rPr>
                <w:rFonts w:ascii="Roboto" w:hAnsi="Roboto"/>
              </w:rPr>
              <w:fldChar w:fldCharType="begin" w:fldLock="1"/>
            </w:r>
            <w:r w:rsidRPr="007C6C48">
              <w:rPr>
                <w:rFonts w:ascii="Roboto" w:hAnsi="Roboto"/>
              </w:rPr>
              <w:instrText>ADDIN CSL_CITATION {"citationItems":[{"id":"ITEM-1","itemData":{"DOI":"10.1016/j.chemgeo.2020.119913","ISSN":"00092541","abstract":"Sulfur content at sulfide saturation (SCSS) is a critical parameter that controls the consumption of sulfide during partial melting as well as potential exsolution of sulfide during magma evolution. Natural magmatic systems involve H2O in silicate melt and NiS in FeS-dominated sulfide, but the combined effects of melt H2O and sulfide composition on SCSS have not been well constrained. We carried out 18 phase equilibrium experiments between anhydrous or hydrous basaltic melt and FeS-NiS sulfide at 1.0–2.5 GPa and 1523–1673 K in a piston cylinder apparatus. Experimental results demonstrate an increase of SCSS of approximately 104 ppm per wt% melt H2O and a proportional increase of SCSS with the mole fraction of FeS in sulfide (XFeS). In combination with literature data, we find that the effects of melt H2O and sulfide composition are independent and additive. A new model of SCSS for natural basaltic melt is developed: [Formula presented] where T is temperature in K, P is pressure in GPa, and wH2O is melt H2O content in wt%. This model not only fits our own data well but also reproduces literature data of SCSS in basaltic melt within 20% off. Application of this SCSS model to ridge magmatism shows that the observed S contents in MORBs corresponds to ~15% melting of mantle (after sulfide exhaustion). The higher S contents in some sulfide-saturated MORBs require a mantle source containing high-NiS sulfide (XNiS ≈ 0.4). Comparison of SCSS with S contents in melt inclusions from primary arc magmas suggests that sulfate is not required to be present for a majority of sub-arc mantle.","author":[{"dropping-particle":"","family":"Liu","given":"Kang","non-dropping-particle":"","parse-names":false,"suffix":""},{"dropping-particle":"","family":"Zhang","given":"Li","non-dropping-particle":"","parse-names":false,"suffix":""},{"dropping-particle":"","family":"Guo","given":"Xuan","non-dropping-particle":"","parse-names":false,"suffix":""},{"dropping-particle":"","family":"Ni","given":"Huaiwei","non-dropping-particle":"","parse-names":false,"suffix":""}],"container-title":"Chemical Geology","id":"ITEM-1","issued":{"date-parts":[["2021","1","5"]]},"page":"119913","publisher":"Elsevier B.V.","title":"Effects of sulfide composition and melt H2O on sulfur content at sulfide saturation in basaltic melts","type":"article-journal","volume":"559"},"uris":["http://www.mendeley.com/documents/?uuid=05834b46-5c55-3ad9-8e20-518b132d5787"]}],"mendeley":{"formattedCitation":"(Liu et al., 2021)","manualFormatting":"Liu et al. (2021)","plainTextFormattedCitation":"(Liu et al., 2021)","previouslyFormattedCitation":"(Liu et al., 2021)"},"properties":{"noteIndex":0},"schema":"https://github.com/citation-style-language/schema/raw/master/csl-citation.json"}</w:instrText>
            </w:r>
            <w:r w:rsidRPr="007C6C48">
              <w:rPr>
                <w:rFonts w:ascii="Roboto" w:hAnsi="Roboto"/>
              </w:rPr>
              <w:fldChar w:fldCharType="separate"/>
            </w:r>
            <w:r w:rsidRPr="007C6C48">
              <w:rPr>
                <w:rFonts w:ascii="Roboto" w:hAnsi="Roboto"/>
                <w:noProof/>
              </w:rPr>
              <w:t>Liu et al. (2021)</w:t>
            </w:r>
            <w:r w:rsidRPr="007C6C48">
              <w:rPr>
                <w:rFonts w:ascii="Roboto" w:hAnsi="Roboto"/>
              </w:rPr>
              <w:fldChar w:fldCharType="end"/>
            </w:r>
            <w:r w:rsidRPr="007C6C48">
              <w:rPr>
                <w:rFonts w:ascii="Roboto" w:hAnsi="Roboto"/>
              </w:rPr>
              <w:t xml:space="preserve"> </w:t>
            </w:r>
            <w:r w:rsidRPr="007C6C48">
              <w:rPr>
                <w:rFonts w:ascii="Roboto" w:hAnsi="Roboto"/>
                <w:color w:val="000000" w:themeColor="text1"/>
              </w:rPr>
              <w:t>using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5121F" w:rsidRPr="007C6C48" w14:paraId="0BA06041" w14:textId="77777777" w:rsidTr="00B45276">
        <w:tc>
          <w:tcPr>
            <w:tcW w:w="1136" w:type="dxa"/>
          </w:tcPr>
          <w:p w14:paraId="06A7345B"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P</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sulf</w:t>
            </w:r>
          </w:p>
        </w:tc>
        <w:tc>
          <w:tcPr>
            <w:tcW w:w="827" w:type="dxa"/>
          </w:tcPr>
          <w:p w14:paraId="57903A75" w14:textId="77777777" w:rsidR="0025121F" w:rsidRPr="007C6C48" w:rsidRDefault="0025121F" w:rsidP="00B061FC">
            <w:pPr>
              <w:pStyle w:val="NoSpacing"/>
              <w:spacing w:after="0"/>
              <w:jc w:val="right"/>
              <w:rPr>
                <w:rFonts w:ascii="Roboto" w:hAnsi="Roboto"/>
              </w:rPr>
            </w:pPr>
            <w:r w:rsidRPr="007C6C48">
              <w:rPr>
                <w:rFonts w:ascii="Roboto" w:hAnsi="Roboto"/>
              </w:rPr>
              <w:t xml:space="preserve">1150–1800  </w:t>
            </w:r>
          </w:p>
        </w:tc>
        <w:tc>
          <w:tcPr>
            <w:tcW w:w="960" w:type="dxa"/>
          </w:tcPr>
          <w:p w14:paraId="531F8B92" w14:textId="77777777" w:rsidR="0025121F" w:rsidRPr="007C6C48" w:rsidRDefault="0025121F" w:rsidP="00B061FC">
            <w:pPr>
              <w:pStyle w:val="NoSpacing"/>
              <w:spacing w:after="0"/>
              <w:jc w:val="right"/>
              <w:rPr>
                <w:rFonts w:ascii="Roboto" w:hAnsi="Roboto"/>
              </w:rPr>
            </w:pPr>
            <w:r w:rsidRPr="007C6C48">
              <w:rPr>
                <w:rFonts w:ascii="Roboto" w:hAnsi="Roboto"/>
              </w:rPr>
              <w:t xml:space="preserve">1–55000 </w:t>
            </w:r>
          </w:p>
        </w:tc>
        <w:tc>
          <w:tcPr>
            <w:tcW w:w="1620" w:type="dxa"/>
          </w:tcPr>
          <w:p w14:paraId="7C3A3D8C" w14:textId="77777777" w:rsidR="0025121F" w:rsidRPr="007C6C48" w:rsidRDefault="0025121F" w:rsidP="00B061FC">
            <w:pPr>
              <w:pStyle w:val="NoSpacing"/>
              <w:spacing w:after="0"/>
              <w:rPr>
                <w:rFonts w:ascii="Roboto" w:hAnsi="Roboto"/>
              </w:rPr>
            </w:pPr>
            <w:r w:rsidRPr="007C6C48">
              <w:rPr>
                <w:rFonts w:ascii="Roboto" w:hAnsi="Roboto"/>
              </w:rPr>
              <w:t>Anhydrous basalt to rhyolite</w:t>
            </w:r>
          </w:p>
        </w:tc>
        <w:tc>
          <w:tcPr>
            <w:tcW w:w="1894" w:type="dxa"/>
          </w:tcPr>
          <w:p w14:paraId="3B6D49AE" w14:textId="4DCC0747" w:rsidR="0025121F" w:rsidRPr="007C6C48" w:rsidRDefault="00EF340F" w:rsidP="00B061FC">
            <w:pPr>
              <w:pStyle w:val="NoSpacing"/>
              <w:spacing w:after="0"/>
              <w:rPr>
                <w:rFonts w:ascii="Roboto" w:hAnsi="Roboto"/>
              </w:rPr>
            </w:pPr>
            <w:r w:rsidRPr="007C6C48">
              <w:rPr>
                <w:rFonts w:ascii="Roboto" w:hAnsi="Roboto"/>
              </w:rPr>
              <w:t>B</w:t>
            </w:r>
            <w:r w:rsidR="00DF4ABB" w:rsidRPr="007C6C48">
              <w:rPr>
                <w:rFonts w:ascii="Roboto" w:hAnsi="Roboto"/>
              </w:rPr>
              <w:t>y PySulfSat</w:t>
            </w:r>
          </w:p>
        </w:tc>
        <w:tc>
          <w:tcPr>
            <w:tcW w:w="2579" w:type="dxa"/>
          </w:tcPr>
          <w:p w14:paraId="61581812" w14:textId="3CA8EA99" w:rsidR="0025121F" w:rsidRPr="007C6C48" w:rsidRDefault="0025121F" w:rsidP="00B061FC">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{"citationItems":[{"id":"ITEM-1","itemData":{"DOI":"10.1016/J.GCA.2022.06.020","ISSN":"0016-7037","author":[{"dropping-particle":"","family":"O'Neill","given":"Hugh St. C.","non-dropping-particle":"","parse-names":false,"suffix":""},{"dropping-particle":"","family":"Mavrogenes","given":"John A.","non-dropping-particle":"","parse-names":false,"suffix":""}],"container-title":"Geochimica et Cosmochimica Acta","id":"ITEM-1","issued":{"date-parts":[["2022","6","27"]]},"publisher":"Pergamon","title":"The sulfate capacities of silicate melts","type":"article-journal"},"uris":["http://www.mendeley.com/documents/?uuid=28383afe-41b6-312f-a795-212a394fed74"]}],"mendeley":{"formattedCitation":"(O’Neill and Mavrogenes, 2022)","manualFormatting":"O’Neill and Mavrogenes (2022)","plainTextFormattedCitation":"(O’Neill and Mavrogenes, 2022)","previouslyFormattedCitation":"(O’Neill and Mavrogenes,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O’Neill and Mavrogenes (2022)</w:t>
            </w:r>
            <w:r w:rsidRPr="007C6C48">
              <w:rPr>
                <w:rFonts w:ascii="Roboto" w:hAnsi="Roboto"/>
              </w:rPr>
              <w:fldChar w:fldCharType="end"/>
            </w:r>
            <w:r w:rsidRPr="007C6C48">
              <w:rPr>
                <w:rFonts w:ascii="Roboto" w:hAnsi="Roboto"/>
              </w:rPr>
              <w:t xml:space="preserve"> using PySulfSat </w:t>
            </w:r>
            <w:r w:rsidR="005C2D66" w:rsidRPr="007C6C48">
              <w:rPr>
                <w:rFonts w:ascii="Roboto" w:hAnsi="Roboto"/>
              </w:rPr>
              <w:t>(</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5121F" w:rsidRPr="007C6C48" w14:paraId="32979F0C" w14:textId="77777777" w:rsidTr="00B45276">
        <w:tc>
          <w:tcPr>
            <w:tcW w:w="1136" w:type="dxa"/>
          </w:tcPr>
          <w:p w14:paraId="22995ECE" w14:textId="77777777" w:rsidR="0025121F" w:rsidRPr="007C6C48" w:rsidRDefault="0025121F" w:rsidP="00B061FC">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p>
        </w:tc>
        <w:tc>
          <w:tcPr>
            <w:tcW w:w="827" w:type="dxa"/>
          </w:tcPr>
          <w:p w14:paraId="70D6B95C" w14:textId="77777777" w:rsidR="0025121F" w:rsidRPr="007C6C48" w:rsidRDefault="0025121F" w:rsidP="00B061FC">
            <w:pPr>
              <w:pStyle w:val="NoSpacing"/>
              <w:spacing w:after="0"/>
              <w:jc w:val="right"/>
              <w:rPr>
                <w:rFonts w:ascii="Roboto" w:hAnsi="Roboto"/>
              </w:rPr>
            </w:pPr>
            <w:r w:rsidRPr="007C6C48">
              <w:rPr>
                <w:rFonts w:ascii="Roboto" w:hAnsi="Roboto"/>
              </w:rPr>
              <w:t xml:space="preserve">1150–2160 </w:t>
            </w:r>
          </w:p>
        </w:tc>
        <w:tc>
          <w:tcPr>
            <w:tcW w:w="960" w:type="dxa"/>
          </w:tcPr>
          <w:p w14:paraId="7891E4EC" w14:textId="77777777" w:rsidR="0025121F" w:rsidRPr="007C6C48" w:rsidRDefault="0025121F" w:rsidP="00B061FC">
            <w:pPr>
              <w:pStyle w:val="NoSpacing"/>
              <w:spacing w:after="0"/>
              <w:jc w:val="right"/>
              <w:rPr>
                <w:rFonts w:ascii="Roboto" w:hAnsi="Roboto"/>
              </w:rPr>
            </w:pPr>
            <w:r w:rsidRPr="007C6C48">
              <w:rPr>
                <w:rFonts w:ascii="Roboto" w:hAnsi="Roboto"/>
              </w:rPr>
              <w:t xml:space="preserve">1–240000 </w:t>
            </w:r>
          </w:p>
        </w:tc>
        <w:tc>
          <w:tcPr>
            <w:tcW w:w="1620" w:type="dxa"/>
          </w:tcPr>
          <w:p w14:paraId="10081E29" w14:textId="77777777" w:rsidR="0025121F" w:rsidRPr="007C6C48" w:rsidRDefault="0025121F" w:rsidP="00B061FC">
            <w:pPr>
              <w:pStyle w:val="NoSpacing"/>
              <w:spacing w:after="0"/>
              <w:rPr>
                <w:rFonts w:ascii="Roboto" w:hAnsi="Roboto"/>
              </w:rPr>
            </w:pPr>
            <w:r w:rsidRPr="007C6C48">
              <w:rPr>
                <w:rFonts w:ascii="Roboto" w:hAnsi="Roboto"/>
              </w:rPr>
              <w:t>Hydrous basalt to rhyolite</w:t>
            </w:r>
          </w:p>
        </w:tc>
        <w:tc>
          <w:tcPr>
            <w:tcW w:w="1894" w:type="dxa"/>
          </w:tcPr>
          <w:p w14:paraId="0D9893F5" w14:textId="4606A0EA" w:rsidR="0025121F" w:rsidRPr="007C6C48" w:rsidRDefault="00EF340F" w:rsidP="00B061FC">
            <w:pPr>
              <w:pStyle w:val="NoSpacing"/>
              <w:spacing w:after="0"/>
              <w:rPr>
                <w:rFonts w:ascii="Roboto" w:hAnsi="Roboto"/>
              </w:rPr>
            </w:pPr>
            <w:r w:rsidRPr="007C6C48">
              <w:rPr>
                <w:rFonts w:ascii="Roboto" w:hAnsi="Roboto"/>
              </w:rPr>
              <w:t>B</w:t>
            </w:r>
            <w:r w:rsidR="00DF4ABB" w:rsidRPr="007C6C48">
              <w:rPr>
                <w:rFonts w:ascii="Roboto" w:hAnsi="Roboto"/>
              </w:rPr>
              <w:t>y PySulfSat</w:t>
            </w:r>
          </w:p>
        </w:tc>
        <w:tc>
          <w:tcPr>
            <w:tcW w:w="2579" w:type="dxa"/>
          </w:tcPr>
          <w:p w14:paraId="2279B814" w14:textId="373CBC62" w:rsidR="0025121F" w:rsidRPr="007C6C48" w:rsidRDefault="0025121F" w:rsidP="00B061FC">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{"citationItems":[{"id":"ITEM-1","itemData":{"DOI":"10.2138/AM-2017-5800CCBY","ISSN":"0003-004X","abstract":"The extent to which sulfur dissolves in silicate melts saturated in an immiscible sulfide phase is a fundamental question in igneous petrology and plays a primary role in the generation of magmatic ore deposits, volcanic degassing, and planetary differentiation. In igneous systems, sulfide melts can be described as FeS-NiS-CuS0.5 solutions with Fe/(Fe+Ni+Cu) significantly less than 1. Despite the presence of Ni and Cu in the sulfide, however, most experimental studies to date have concentrated on the effects of silicate melt composition on sulfur solubility and have used essentially pure FeS as the sulfide liquid. We have carried out 49 new experiments at pressures of 1.5-24 GPa and temperatures of 1400 to 2160 °C to investigate the effects of sulfide composition on sulfur solubility as well as extending the pressure and temperature ranges of the available data on sulfide saturation. We find that in the compositional range of most igneous sulfide melts [Fe/(Fe+Ni+Cu) &gt; 0.6] sulfur solubility decreases linearly with Fe content such that at Fe/(Fe+Ni+Cu) of 0.6 the sulfur content at saturation is 0.6 times the value at pure FeS saturation. At lower values of Fe/(Fe+Ni+Cu), however, deviations from this ideal solution relationship need to be taken into consideration. We have treated these non-idealities by assuming that FeS-NiS-CuS0.5 liquids approximate ternary regular solutions. We have fitted our data, together with data from the literature (392 in total), to equations incorporating the effects of silicate melt composition, sulfide liquid composition, and pressure on the solubility of sulfur at sulfide saturation ([S]SCSS). The temperature dependence of [S]SCSS was assumed either to be an unknown or was taken from 1 bar thermodynamic data. The most important best-fit silicate melt compositional term reflects the strongly positive dependence of [S]SCSS on the FeO content of the silicate melt. The best-fit value of this parameter is essentially independent of our assumptions about temperature dependence of [S]SCSS or the solution properties of the sulfide. All natural compositions considered here exhibit positive dependences of [S]SCSS on temperature and negative dependences on pressure, in accord with previous studies using smaller data sets.","author":[{"dropping-particle":"","family":"Smythe","given":"Duane J.","non-dropping-particle":"","parse-names":false,"suffix":""},{"dropping-particle":"","family":"Wood","given":"Bernard J.","non-dropping-particle":"","parse-names":false,"suffix":""},{"dropping-particle":"","family":"Kiseeva","given":"Ekaterina S.","non-dropping-particle":"","parse-names":false,"suffix":""}],"container-title":"American Mineralogist","id":"ITEM-1","issue":"4","issued":{"date-parts":[["2017","4","1"]]},"page":"795-803","publisher":"GeoScienceWorld","title":"The S content of silicate melts at sulfide saturation: New experiments and a model incorporating the effects of sulfide composition","type":"article-journal","volume":"102"},"uris":["http://www.mendeley.com/documents/?uuid=788ff125-3a9a-3b2d-bc84-781cd4bac678"]}],"mendeley":{"formattedCitation":"(Smythe et al., 2017)","manualFormatting":"Smythe et al. (2017)","plainTextFormattedCitation":"(Smythe et al., 2017)","previouslyFormattedCitation":"(Smythe et al., 2017)"},"properties":{"noteIndex":0},"schema":"https://github.com/citation-style-language/schema/raw/master/csl-citation.json"}</w:instrText>
            </w:r>
            <w:r w:rsidRPr="007C6C48">
              <w:rPr>
                <w:rFonts w:ascii="Roboto" w:hAnsi="Roboto"/>
              </w:rPr>
              <w:fldChar w:fldCharType="separate"/>
            </w:r>
            <w:r w:rsidRPr="007C6C48">
              <w:rPr>
                <w:rFonts w:ascii="Roboto" w:hAnsi="Roboto"/>
                <w:noProof/>
              </w:rPr>
              <w:t>Smythe et al. (2017)</w:t>
            </w:r>
            <w:r w:rsidRPr="007C6C48">
              <w:rPr>
                <w:rFonts w:ascii="Roboto" w:hAnsi="Roboto"/>
              </w:rPr>
              <w:fldChar w:fldCharType="end"/>
            </w:r>
            <w:r w:rsidRPr="007C6C48">
              <w:rPr>
                <w:rFonts w:ascii="Roboto" w:hAnsi="Roboto"/>
              </w:rPr>
              <w:t xml:space="preserve"> using PySulfSat </w:t>
            </w:r>
            <w:r w:rsidR="005C2D66" w:rsidRPr="007C6C48">
              <w:rPr>
                <w:rFonts w:ascii="Roboto" w:hAnsi="Roboto"/>
              </w:rPr>
              <w:t>(</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5121F" w:rsidRPr="007C6C48" w14:paraId="1987DB82" w14:textId="77777777" w:rsidTr="00B45276">
        <w:tc>
          <w:tcPr>
            <w:tcW w:w="1136" w:type="dxa"/>
          </w:tcPr>
          <w:p w14:paraId="5D0061A0" w14:textId="38E0FDAE" w:rsidR="0025121F" w:rsidRPr="007C6C48" w:rsidRDefault="002D33A2" w:rsidP="00B061FC">
            <w:pPr>
              <w:pStyle w:val="NoSpacing"/>
              <w:spacing w:after="0"/>
              <w:rPr>
                <w:rFonts w:ascii="Roboto" w:hAnsi="Roboto"/>
                <w:i/>
                <w:iCs/>
                <w:color w:val="000000" w:themeColor="text1"/>
              </w:rPr>
            </w:pPr>
            <w:r w:rsidRPr="007C6C48">
              <w:rPr>
                <w:rFonts w:ascii="Roboto" w:hAnsi="Roboto"/>
                <w:i/>
                <w:iCs/>
                <w:color w:val="000000" w:themeColor="text1"/>
              </w:rPr>
              <w:t>T, X</w:t>
            </w:r>
            <w:r w:rsidRPr="007C6C48">
              <w:rPr>
                <w:rFonts w:ascii="Roboto" w:hAnsi="Roboto"/>
                <w:color w:val="000000" w:themeColor="text1"/>
                <w:vertAlign w:val="subscript"/>
              </w:rPr>
              <w:t>sil</w:t>
            </w:r>
            <w:r w:rsidRPr="007C6C48">
              <w:rPr>
                <w:rFonts w:ascii="Roboto" w:hAnsi="Roboto"/>
                <w:i/>
                <w:iCs/>
                <w:color w:val="000000" w:themeColor="text1"/>
              </w:rPr>
              <w:t xml:space="preserve">, </w:t>
            </w:r>
            <w:r w:rsidRPr="007C6C48">
              <w:rPr>
                <w:rFonts w:ascii="Roboto" w:hAnsi="Roboto"/>
                <w:color w:val="000000" w:themeColor="text1"/>
              </w:rPr>
              <w:t>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72AE18C1" w14:textId="5FE8F602" w:rsidR="0025121F" w:rsidRPr="007C6C48" w:rsidRDefault="002D33A2" w:rsidP="00B061FC">
            <w:pPr>
              <w:pStyle w:val="NoSpacing"/>
              <w:spacing w:after="0"/>
              <w:jc w:val="right"/>
              <w:rPr>
                <w:rFonts w:ascii="Roboto" w:hAnsi="Roboto"/>
              </w:rPr>
            </w:pPr>
            <w:r w:rsidRPr="007C6C48">
              <w:rPr>
                <w:rFonts w:ascii="Roboto" w:hAnsi="Roboto"/>
                <w:color w:val="000000" w:themeColor="text1"/>
              </w:rPr>
              <w:t xml:space="preserve">785–1600  </w:t>
            </w:r>
          </w:p>
        </w:tc>
        <w:tc>
          <w:tcPr>
            <w:tcW w:w="960" w:type="dxa"/>
          </w:tcPr>
          <w:p w14:paraId="1BF897F4" w14:textId="5660682B" w:rsidR="0025121F" w:rsidRPr="007C6C48" w:rsidRDefault="002D33A2" w:rsidP="00B061FC">
            <w:pPr>
              <w:pStyle w:val="NoSpacing"/>
              <w:spacing w:after="0"/>
              <w:jc w:val="right"/>
              <w:rPr>
                <w:rFonts w:ascii="Roboto" w:hAnsi="Roboto"/>
              </w:rPr>
            </w:pPr>
            <w:r w:rsidRPr="007C6C48">
              <w:rPr>
                <w:rFonts w:ascii="Roboto" w:hAnsi="Roboto"/>
                <w:color w:val="000000" w:themeColor="text1"/>
              </w:rPr>
              <w:t>1500-30000</w:t>
            </w:r>
          </w:p>
        </w:tc>
        <w:tc>
          <w:tcPr>
            <w:tcW w:w="1620" w:type="dxa"/>
          </w:tcPr>
          <w:p w14:paraId="2AEA3E96" w14:textId="02D4303E" w:rsidR="0025121F" w:rsidRPr="007C6C48" w:rsidRDefault="002D33A2" w:rsidP="00B061FC">
            <w:pPr>
              <w:pStyle w:val="NoSpacing"/>
              <w:spacing w:after="0"/>
              <w:rPr>
                <w:rFonts w:ascii="Roboto" w:hAnsi="Roboto"/>
              </w:rPr>
            </w:pPr>
            <w:r w:rsidRPr="007C6C48">
              <w:rPr>
                <w:rFonts w:ascii="Roboto" w:hAnsi="Roboto"/>
                <w:color w:val="000000" w:themeColor="text1"/>
              </w:rPr>
              <w:t>Hydrous basalt to rhyolite</w:t>
            </w:r>
          </w:p>
        </w:tc>
        <w:tc>
          <w:tcPr>
            <w:tcW w:w="1894" w:type="dxa"/>
          </w:tcPr>
          <w:p w14:paraId="539F2522" w14:textId="62CACF61" w:rsidR="0025121F" w:rsidRPr="007C6C48" w:rsidRDefault="00EF340F" w:rsidP="00B061FC">
            <w:pPr>
              <w:pStyle w:val="NoSpacing"/>
              <w:spacing w:after="0"/>
              <w:rPr>
                <w:rFonts w:ascii="Roboto" w:hAnsi="Roboto"/>
              </w:rPr>
            </w:pPr>
            <w:r w:rsidRPr="007C6C48">
              <w:rPr>
                <w:rFonts w:ascii="Roboto" w:hAnsi="Roboto"/>
              </w:rPr>
              <w:t>B</w:t>
            </w:r>
            <w:r w:rsidR="00DF4ABB" w:rsidRPr="007C6C48">
              <w:rPr>
                <w:rFonts w:ascii="Roboto" w:hAnsi="Roboto"/>
              </w:rPr>
              <w:t>y PySulfSat</w:t>
            </w:r>
          </w:p>
        </w:tc>
        <w:tc>
          <w:tcPr>
            <w:tcW w:w="2579" w:type="dxa"/>
          </w:tcPr>
          <w:p w14:paraId="776FDD40" w14:textId="77F5D14D" w:rsidR="00726532" w:rsidRPr="007C6C48" w:rsidRDefault="002D33A2" w:rsidP="002D33A2">
            <w:pPr>
              <w:pStyle w:val="NoSpacing"/>
              <w:spacing w:after="0"/>
              <w:rPr>
                <w:rFonts w:ascii="Roboto" w:hAnsi="Roboto"/>
              </w:rPr>
            </w:pPr>
            <w:r w:rsidRPr="007C6C48">
              <w:rPr>
                <w:rFonts w:ascii="Roboto" w:hAnsi="Roboto"/>
              </w:rPr>
              <w:t xml:space="preserve">Eq. (19) in  </w:t>
            </w:r>
            <w:r w:rsidR="0025121F" w:rsidRPr="007C6C48">
              <w:rPr>
                <w:rFonts w:ascii="Roboto" w:hAnsi="Roboto"/>
              </w:rPr>
              <w:t xml:space="preserve">Li </w:t>
            </w:r>
            <w:r w:rsidR="00726532" w:rsidRPr="007C6C48">
              <w:rPr>
                <w:rFonts w:ascii="Roboto" w:hAnsi="Roboto"/>
              </w:rPr>
              <w:t>and</w:t>
            </w:r>
            <w:r w:rsidR="0025121F" w:rsidRPr="007C6C48">
              <w:rPr>
                <w:rFonts w:ascii="Roboto" w:hAnsi="Roboto"/>
              </w:rPr>
              <w:t xml:space="preserve"> Zhang (2022)</w:t>
            </w:r>
            <w:r w:rsidRPr="007C6C48">
              <w:rPr>
                <w:rFonts w:ascii="Roboto" w:hAnsi="Roboto"/>
              </w:rPr>
              <w:t xml:space="preserve"> </w:t>
            </w:r>
            <w:r w:rsidR="00726532" w:rsidRPr="007C6C48">
              <w:rPr>
                <w:rFonts w:ascii="Roboto" w:hAnsi="Roboto"/>
              </w:rPr>
              <w:t>using PySulfSat (</w:t>
            </w:r>
            <w:r w:rsidR="00726532" w:rsidRPr="007C6C48">
              <w:rPr>
                <w:rFonts w:ascii="Roboto" w:hAnsi="Roboto"/>
                <w:color w:val="000000" w:themeColor="text1"/>
              </w:rPr>
              <w:fldChar w:fldCharType="begin" w:fldLock="1"/>
            </w:r>
            <w:r w:rsidR="00726532"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00726532" w:rsidRPr="007C6C48">
              <w:rPr>
                <w:rFonts w:ascii="Roboto" w:hAnsi="Roboto"/>
                <w:color w:val="000000" w:themeColor="text1"/>
              </w:rPr>
              <w:fldChar w:fldCharType="separate"/>
            </w:r>
            <w:r w:rsidR="00726532" w:rsidRPr="007C6C48">
              <w:rPr>
                <w:rFonts w:ascii="Roboto" w:hAnsi="Roboto"/>
                <w:noProof/>
                <w:color w:val="000000" w:themeColor="text1"/>
              </w:rPr>
              <w:t>Wieser and Gleeson, 2023)</w:t>
            </w:r>
            <w:r w:rsidR="00726532" w:rsidRPr="007C6C48">
              <w:rPr>
                <w:rFonts w:ascii="Roboto" w:hAnsi="Roboto"/>
                <w:color w:val="000000" w:themeColor="text1"/>
              </w:rPr>
              <w:fldChar w:fldCharType="end"/>
            </w:r>
          </w:p>
        </w:tc>
      </w:tr>
      <w:tr w:rsidR="002D33A2" w:rsidRPr="007C6C48" w14:paraId="0E648249" w14:textId="77777777" w:rsidTr="00B45276">
        <w:tc>
          <w:tcPr>
            <w:tcW w:w="1136" w:type="dxa"/>
          </w:tcPr>
          <w:p w14:paraId="2B44442A" w14:textId="209DB0CE" w:rsidR="002D33A2" w:rsidRPr="007C6C48" w:rsidRDefault="002D33A2" w:rsidP="002D33A2">
            <w:pPr>
              <w:pStyle w:val="NoSpacing"/>
              <w:spacing w:after="0"/>
              <w:rPr>
                <w:rFonts w:ascii="Roboto" w:hAnsi="Roboto"/>
                <w:i/>
                <w:iCs/>
                <w:color w:val="000000" w:themeColor="text1"/>
                <w:highlight w:val="yellow"/>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xml:space="preserve">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74F7C35D" w14:textId="2AF78968" w:rsidR="002D33A2" w:rsidRPr="007C6C48" w:rsidRDefault="002D33A2" w:rsidP="002D33A2">
            <w:pPr>
              <w:pStyle w:val="NoSpacing"/>
              <w:spacing w:after="0"/>
              <w:jc w:val="right"/>
              <w:rPr>
                <w:rFonts w:ascii="Roboto" w:hAnsi="Roboto"/>
                <w:i/>
                <w:iCs/>
                <w:color w:val="000000" w:themeColor="text1"/>
                <w:highlight w:val="yellow"/>
              </w:rPr>
            </w:pPr>
            <w:r w:rsidRPr="007C6C48">
              <w:rPr>
                <w:rFonts w:ascii="Roboto" w:hAnsi="Roboto"/>
              </w:rPr>
              <w:t xml:space="preserve">1150–2350 </w:t>
            </w:r>
          </w:p>
        </w:tc>
        <w:tc>
          <w:tcPr>
            <w:tcW w:w="960" w:type="dxa"/>
          </w:tcPr>
          <w:p w14:paraId="600ECB42" w14:textId="4C6B7126" w:rsidR="002D33A2" w:rsidRPr="007C6C48" w:rsidRDefault="002D33A2" w:rsidP="002D33A2">
            <w:pPr>
              <w:pStyle w:val="NoSpacing"/>
              <w:spacing w:after="0"/>
              <w:jc w:val="right"/>
              <w:rPr>
                <w:rFonts w:ascii="Roboto" w:hAnsi="Roboto"/>
                <w:i/>
                <w:iCs/>
                <w:color w:val="000000" w:themeColor="text1"/>
                <w:highlight w:val="yellow"/>
              </w:rPr>
            </w:pPr>
            <w:r w:rsidRPr="007C6C48">
              <w:rPr>
                <w:rFonts w:ascii="Roboto" w:hAnsi="Roboto"/>
              </w:rPr>
              <w:t xml:space="preserve">1–240000 </w:t>
            </w:r>
          </w:p>
        </w:tc>
        <w:tc>
          <w:tcPr>
            <w:tcW w:w="1620" w:type="dxa"/>
          </w:tcPr>
          <w:p w14:paraId="32988236" w14:textId="50E0A36F" w:rsidR="002D33A2" w:rsidRPr="007C6C48" w:rsidRDefault="002D33A2" w:rsidP="002D33A2">
            <w:pPr>
              <w:pStyle w:val="NoSpacing"/>
              <w:spacing w:after="0"/>
              <w:rPr>
                <w:rFonts w:ascii="Roboto" w:hAnsi="Roboto"/>
                <w:i/>
                <w:iCs/>
                <w:color w:val="000000" w:themeColor="text1"/>
                <w:highlight w:val="yellow"/>
              </w:rPr>
            </w:pPr>
            <w:r w:rsidRPr="007C6C48">
              <w:rPr>
                <w:rFonts w:ascii="Roboto" w:hAnsi="Roboto"/>
              </w:rPr>
              <w:t>Hydrous basalt to rhyolite</w:t>
            </w:r>
          </w:p>
        </w:tc>
        <w:tc>
          <w:tcPr>
            <w:tcW w:w="1894" w:type="dxa"/>
          </w:tcPr>
          <w:p w14:paraId="1FC8264A" w14:textId="2D155338" w:rsidR="002D33A2" w:rsidRPr="007C6C48" w:rsidRDefault="002D33A2" w:rsidP="002D33A2">
            <w:pPr>
              <w:pStyle w:val="NoSpacing"/>
              <w:spacing w:after="0"/>
              <w:rPr>
                <w:rFonts w:ascii="Roboto" w:hAnsi="Roboto"/>
              </w:rPr>
            </w:pPr>
            <w:r w:rsidRPr="007C6C48">
              <w:rPr>
                <w:rFonts w:ascii="Roboto" w:hAnsi="Roboto"/>
              </w:rPr>
              <w:t>By PySulfSat</w:t>
            </w:r>
          </w:p>
        </w:tc>
        <w:tc>
          <w:tcPr>
            <w:tcW w:w="2579" w:type="dxa"/>
          </w:tcPr>
          <w:p w14:paraId="5C71A219" w14:textId="61F0767F" w:rsidR="002D33A2" w:rsidRPr="007C6C48" w:rsidRDefault="002D33A2" w:rsidP="002D33A2">
            <w:pPr>
              <w:pStyle w:val="NoSpacing"/>
              <w:spacing w:after="0"/>
              <w:rPr>
                <w:rFonts w:ascii="Roboto" w:hAnsi="Roboto"/>
              </w:rPr>
            </w:pPr>
            <w:r w:rsidRPr="007C6C48">
              <w:rPr>
                <w:rFonts w:ascii="Roboto" w:hAnsi="Roboto"/>
              </w:rPr>
              <w:t>Eq. (11) in Blanchard et al. (2021) using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D33A2" w:rsidRPr="007C6C48" w14:paraId="0370440C" w14:textId="77777777" w:rsidTr="00B45276">
        <w:tc>
          <w:tcPr>
            <w:tcW w:w="1136" w:type="dxa"/>
            <w:tcBorders>
              <w:bottom w:val="single" w:sz="8" w:space="0" w:color="auto"/>
            </w:tcBorders>
          </w:tcPr>
          <w:p w14:paraId="3FD8EA2B" w14:textId="1D8305E5" w:rsidR="002D33A2" w:rsidRPr="007C6C48" w:rsidRDefault="002D33A2" w:rsidP="002D33A2">
            <w:pPr>
              <w:pStyle w:val="NoSpacing"/>
              <w:spacing w:after="0"/>
              <w:rPr>
                <w:rFonts w:ascii="Roboto" w:hAnsi="Roboto"/>
                <w:i/>
                <w:iCs/>
                <w:color w:val="000000" w:themeColor="text1"/>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xml:space="preserve">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Borders>
              <w:bottom w:val="single" w:sz="8" w:space="0" w:color="auto"/>
            </w:tcBorders>
          </w:tcPr>
          <w:p w14:paraId="7F9C5D1E" w14:textId="1A25F2FB" w:rsidR="002D33A2" w:rsidRPr="007C6C48" w:rsidRDefault="002D33A2" w:rsidP="002D33A2">
            <w:pPr>
              <w:pStyle w:val="NoSpacing"/>
              <w:spacing w:after="0"/>
              <w:jc w:val="right"/>
              <w:rPr>
                <w:rFonts w:ascii="Roboto" w:hAnsi="Roboto"/>
              </w:rPr>
            </w:pPr>
            <w:r w:rsidRPr="007C6C48">
              <w:rPr>
                <w:rFonts w:ascii="Roboto" w:hAnsi="Roboto"/>
              </w:rPr>
              <w:t xml:space="preserve">1150–2350 </w:t>
            </w:r>
          </w:p>
        </w:tc>
        <w:tc>
          <w:tcPr>
            <w:tcW w:w="960" w:type="dxa"/>
            <w:tcBorders>
              <w:bottom w:val="single" w:sz="8" w:space="0" w:color="auto"/>
            </w:tcBorders>
          </w:tcPr>
          <w:p w14:paraId="2CAD3E83" w14:textId="10FE11D3" w:rsidR="002D33A2" w:rsidRPr="007C6C48" w:rsidRDefault="002D33A2" w:rsidP="002D33A2">
            <w:pPr>
              <w:pStyle w:val="NoSpacing"/>
              <w:spacing w:after="0"/>
              <w:jc w:val="right"/>
              <w:rPr>
                <w:rFonts w:ascii="Roboto" w:hAnsi="Roboto"/>
              </w:rPr>
            </w:pPr>
            <w:r w:rsidRPr="007C6C48">
              <w:rPr>
                <w:rFonts w:ascii="Roboto" w:hAnsi="Roboto"/>
              </w:rPr>
              <w:t xml:space="preserve">1–240000 </w:t>
            </w:r>
          </w:p>
        </w:tc>
        <w:tc>
          <w:tcPr>
            <w:tcW w:w="1620" w:type="dxa"/>
            <w:tcBorders>
              <w:bottom w:val="single" w:sz="8" w:space="0" w:color="auto"/>
            </w:tcBorders>
          </w:tcPr>
          <w:p w14:paraId="0D43EFC0" w14:textId="27AAA34D" w:rsidR="002D33A2" w:rsidRPr="007C6C48" w:rsidRDefault="002D33A2" w:rsidP="002D33A2">
            <w:pPr>
              <w:pStyle w:val="NoSpacing"/>
              <w:spacing w:after="0"/>
              <w:rPr>
                <w:rFonts w:ascii="Roboto" w:hAnsi="Roboto"/>
              </w:rPr>
            </w:pPr>
            <w:r w:rsidRPr="007C6C48">
              <w:rPr>
                <w:rFonts w:ascii="Roboto" w:hAnsi="Roboto"/>
              </w:rPr>
              <w:t>Hydrous basalt to rhyolite</w:t>
            </w:r>
          </w:p>
        </w:tc>
        <w:tc>
          <w:tcPr>
            <w:tcW w:w="1894" w:type="dxa"/>
            <w:tcBorders>
              <w:bottom w:val="single" w:sz="8" w:space="0" w:color="auto"/>
            </w:tcBorders>
          </w:tcPr>
          <w:p w14:paraId="5F1FDA10" w14:textId="5682A313" w:rsidR="002D33A2" w:rsidRPr="007C6C48" w:rsidRDefault="002D33A2" w:rsidP="002D33A2">
            <w:pPr>
              <w:pStyle w:val="NoSpacing"/>
              <w:spacing w:after="0"/>
              <w:rPr>
                <w:rFonts w:ascii="Roboto" w:hAnsi="Roboto"/>
              </w:rPr>
            </w:pPr>
            <w:r w:rsidRPr="007C6C48">
              <w:rPr>
                <w:rFonts w:ascii="Roboto" w:hAnsi="Roboto"/>
              </w:rPr>
              <w:t>By PySulfSat</w:t>
            </w:r>
          </w:p>
        </w:tc>
        <w:tc>
          <w:tcPr>
            <w:tcW w:w="2579" w:type="dxa"/>
          </w:tcPr>
          <w:p w14:paraId="02514928" w14:textId="19A00781" w:rsidR="002D33A2" w:rsidRPr="007C6C48" w:rsidRDefault="002D33A2" w:rsidP="002D33A2">
            <w:pPr>
              <w:pStyle w:val="NoSpacing"/>
              <w:spacing w:after="0"/>
              <w:rPr>
                <w:rFonts w:ascii="Roboto" w:hAnsi="Roboto"/>
              </w:rPr>
            </w:pPr>
            <w:r w:rsidRPr="007C6C48">
              <w:rPr>
                <w:rFonts w:ascii="Roboto" w:hAnsi="Roboto"/>
              </w:rPr>
              <w:t xml:space="preserve">Eq. (12) in Blanchard et al. (2021) using </w:t>
            </w:r>
            <w:r w:rsidRPr="007C6C48">
              <w:rPr>
                <w:rFonts w:ascii="Roboto" w:hAnsi="Roboto"/>
              </w:rPr>
              <w:lastRenderedPageBreak/>
              <w:t>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D33A2" w:rsidRPr="007C6C48" w14:paraId="668ADA6C" w14:textId="77777777" w:rsidTr="00025882">
        <w:tc>
          <w:tcPr>
            <w:tcW w:w="9016" w:type="dxa"/>
            <w:gridSpan w:val="6"/>
            <w:tcBorders>
              <w:top w:val="single" w:sz="8" w:space="0" w:color="auto"/>
            </w:tcBorders>
            <w:shd w:val="clear" w:color="auto" w:fill="E7E6E6" w:themeFill="background2"/>
          </w:tcPr>
          <w:p w14:paraId="7DBD69A5" w14:textId="63FD74DF" w:rsidR="002D33A2" w:rsidRPr="007C6C48" w:rsidRDefault="002D33A2" w:rsidP="002D33A2">
            <w:pPr>
              <w:pStyle w:val="NoSpacing"/>
              <w:spacing w:after="0"/>
              <w:rPr>
                <w:rFonts w:ascii="Roboto" w:hAnsi="Roboto"/>
              </w:rPr>
            </w:pPr>
            <w:r w:rsidRPr="007C6C48">
              <w:rPr>
                <w:rFonts w:ascii="Roboto" w:hAnsi="Roboto"/>
              </w:rPr>
              <w:lastRenderedPageBreak/>
              <w:t>Sulfate content at anhydrite saturation</w:t>
            </w:r>
          </w:p>
        </w:tc>
      </w:tr>
      <w:tr w:rsidR="002D33A2" w:rsidRPr="007C6C48" w14:paraId="19ADA36D" w14:textId="77777777" w:rsidTr="00B45276">
        <w:tc>
          <w:tcPr>
            <w:tcW w:w="1136" w:type="dxa"/>
            <w:tcBorders>
              <w:top w:val="single" w:sz="8" w:space="0" w:color="auto"/>
            </w:tcBorders>
          </w:tcPr>
          <w:p w14:paraId="77EA4842" w14:textId="77777777" w:rsidR="002D33A2" w:rsidRPr="007C6C48" w:rsidRDefault="002D33A2" w:rsidP="002D33A2">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Borders>
              <w:top w:val="single" w:sz="8" w:space="0" w:color="auto"/>
            </w:tcBorders>
          </w:tcPr>
          <w:p w14:paraId="71E302CF" w14:textId="77777777" w:rsidR="002D33A2" w:rsidRPr="007C6C48" w:rsidRDefault="002D33A2" w:rsidP="002D33A2">
            <w:pPr>
              <w:pStyle w:val="NoSpacing"/>
              <w:spacing w:after="0"/>
              <w:jc w:val="right"/>
              <w:rPr>
                <w:rFonts w:ascii="Roboto" w:hAnsi="Roboto"/>
              </w:rPr>
            </w:pPr>
            <w:r w:rsidRPr="007C6C48">
              <w:rPr>
                <w:rFonts w:ascii="Roboto" w:hAnsi="Roboto"/>
              </w:rPr>
              <w:t xml:space="preserve">700–1325 </w:t>
            </w:r>
          </w:p>
        </w:tc>
        <w:tc>
          <w:tcPr>
            <w:tcW w:w="960" w:type="dxa"/>
            <w:tcBorders>
              <w:top w:val="single" w:sz="8" w:space="0" w:color="auto"/>
            </w:tcBorders>
          </w:tcPr>
          <w:p w14:paraId="2CEFC2B3" w14:textId="77777777" w:rsidR="002D33A2" w:rsidRPr="007C6C48" w:rsidRDefault="002D33A2" w:rsidP="002D33A2">
            <w:pPr>
              <w:pStyle w:val="NoSpacing"/>
              <w:spacing w:after="0"/>
              <w:jc w:val="right"/>
              <w:rPr>
                <w:rFonts w:ascii="Roboto" w:hAnsi="Roboto"/>
              </w:rPr>
            </w:pPr>
            <w:r w:rsidRPr="007C6C48">
              <w:rPr>
                <w:rFonts w:ascii="Roboto" w:hAnsi="Roboto"/>
              </w:rPr>
              <w:t xml:space="preserve">1000–30000 </w:t>
            </w:r>
          </w:p>
        </w:tc>
        <w:tc>
          <w:tcPr>
            <w:tcW w:w="1620" w:type="dxa"/>
            <w:tcBorders>
              <w:top w:val="single" w:sz="8" w:space="0" w:color="auto"/>
            </w:tcBorders>
          </w:tcPr>
          <w:p w14:paraId="050D1E7A" w14:textId="77777777" w:rsidR="002D33A2" w:rsidRPr="007C6C48" w:rsidRDefault="002D33A2" w:rsidP="002D33A2">
            <w:pPr>
              <w:pStyle w:val="NoSpacing"/>
              <w:spacing w:after="0"/>
              <w:rPr>
                <w:rFonts w:ascii="Roboto" w:hAnsi="Roboto"/>
              </w:rPr>
            </w:pPr>
            <w:r w:rsidRPr="007C6C48">
              <w:rPr>
                <w:rFonts w:ascii="Roboto" w:hAnsi="Roboto"/>
              </w:rPr>
              <w:t>Basalt to rhyolite</w:t>
            </w:r>
          </w:p>
        </w:tc>
        <w:tc>
          <w:tcPr>
            <w:tcW w:w="1894" w:type="dxa"/>
            <w:tcBorders>
              <w:top w:val="single" w:sz="8" w:space="0" w:color="auto"/>
            </w:tcBorders>
          </w:tcPr>
          <w:p w14:paraId="59616494" w14:textId="00A9D7E1" w:rsidR="002D33A2" w:rsidRPr="007C6C48" w:rsidRDefault="002D33A2" w:rsidP="002D33A2">
            <w:pPr>
              <w:pStyle w:val="NoSpacing"/>
              <w:spacing w:after="0"/>
              <w:rPr>
                <w:rFonts w:ascii="Roboto" w:hAnsi="Roboto"/>
              </w:rPr>
            </w:pPr>
            <w:r w:rsidRPr="007C6C48">
              <w:rPr>
                <w:rFonts w:ascii="Roboto" w:hAnsi="Roboto"/>
              </w:rPr>
              <w:t>By PySulfSat</w:t>
            </w:r>
          </w:p>
        </w:tc>
        <w:tc>
          <w:tcPr>
            <w:tcW w:w="2579" w:type="dxa"/>
            <w:tcBorders>
              <w:top w:val="single" w:sz="8" w:space="0" w:color="auto"/>
            </w:tcBorders>
          </w:tcPr>
          <w:p w14:paraId="6356F2CE" w14:textId="3DDF076E" w:rsidR="002D33A2" w:rsidRPr="007C6C48" w:rsidRDefault="002D33A2" w:rsidP="002D33A2">
            <w:pPr>
              <w:pStyle w:val="NoSpacing"/>
              <w:spacing w:after="0"/>
              <w:rPr>
                <w:rFonts w:ascii="Roboto" w:hAnsi="Roboto"/>
              </w:rPr>
            </w:pPr>
            <w:r w:rsidRPr="007C6C48">
              <w:rPr>
                <w:rFonts w:ascii="Roboto" w:hAnsi="Roboto"/>
              </w:rPr>
              <w:t xml:space="preserve">Eq. (8) using Table 5 in </w:t>
            </w:r>
            <w:r w:rsidRPr="007C6C48">
              <w:rPr>
                <w:rFonts w:ascii="Roboto" w:hAnsi="Roboto"/>
              </w:rPr>
              <w:fldChar w:fldCharType="begin" w:fldLock="1"/>
            </w:r>
            <w:r w:rsidRPr="007C6C48">
              <w:rPr>
                <w:rFonts w:ascii="Roboto" w:hAnsi="Roboto"/>
              </w:rPr>
              <w:instrText>ADDIN CSL_CITATION {"citationItems":[{"id":"ITEM-1","itemData":{"DOI":"10.1016/J.CHEMGEO.2019.05.020","ISSN":"0009-2541","abstract":"To add to our understanding of sulfur cycle in subduction zones in general and constrain the effects of slab-released sulfate (SO42−) on the magma genesis and sulfur transport from sub-arc mantle to the arc volcanoes in particular we carried out an experimental study. High pressure-temperature, piston-cylinder experiments were carried out in Au-Pd capsules at 0.5–3</w:instrText>
            </w:r>
            <w:r w:rsidRPr="007C6C48">
              <w:rPr>
                <w:rFonts w:cs="Times New Roman"/>
              </w:rPr>
              <w:instrText> </w:instrText>
            </w:r>
            <w:r w:rsidRPr="007C6C48">
              <w:rPr>
                <w:rFonts w:ascii="Roboto" w:hAnsi="Roboto"/>
              </w:rPr>
              <w:instrText>GPa and 1050–1325</w:instrText>
            </w:r>
            <w:r w:rsidRPr="007C6C48">
              <w:rPr>
                <w:rFonts w:cs="Times New Roman"/>
              </w:rPr>
              <w:instrText> </w:instrText>
            </w:r>
            <w:r w:rsidRPr="007C6C48">
              <w:rPr>
                <w:rFonts w:ascii="Roboto" w:hAnsi="Roboto"/>
              </w:rPr>
              <w:instrText>°C to investigate (a) the effect of variable sulfur concentration from 0 to ~2</w:instrText>
            </w:r>
            <w:r w:rsidRPr="007C6C48">
              <w:rPr>
                <w:rFonts w:cs="Times New Roman"/>
              </w:rPr>
              <w:instrText> </w:instrText>
            </w:r>
            <w:r w:rsidRPr="007C6C48">
              <w:rPr>
                <w:rFonts w:ascii="Roboto" w:hAnsi="Roboto"/>
              </w:rPr>
              <w:instrText>wt%, dissolved as SO42− on the stability field of a primary arc basalt with ~4</w:instrText>
            </w:r>
            <w:r w:rsidRPr="007C6C48">
              <w:rPr>
                <w:rFonts w:cs="Times New Roman"/>
              </w:rPr>
              <w:instrText> </w:instrText>
            </w:r>
            <w:r w:rsidRPr="007C6C48">
              <w:rPr>
                <w:rFonts w:ascii="Roboto" w:hAnsi="Roboto"/>
              </w:rPr>
              <w:instrText>wt% H2O and determine (b) the sulfur content at anhydrite saturation (SCAS) of hydrous mafic magmas. Speciation of sulfur in the silicate melt was confirmed to be SO42− by S Kα X-ray peak position using electron microprobe. S-free hydrous clinopyroxene liquidus at 2</w:instrText>
            </w:r>
            <w:r w:rsidRPr="007C6C48">
              <w:rPr>
                <w:rFonts w:cs="Times New Roman"/>
              </w:rPr>
              <w:instrText> </w:instrText>
            </w:r>
            <w:r w:rsidRPr="007C6C48">
              <w:rPr>
                <w:rFonts w:ascii="Roboto" w:hAnsi="Roboto"/>
              </w:rPr>
              <w:instrText>GPa is ~25</w:instrText>
            </w:r>
            <w:r w:rsidRPr="007C6C48">
              <w:rPr>
                <w:rFonts w:cs="Times New Roman"/>
              </w:rPr>
              <w:instrText> </w:instrText>
            </w:r>
            <w:r w:rsidRPr="007C6C48">
              <w:rPr>
                <w:rFonts w:ascii="Roboto" w:hAnsi="Roboto"/>
              </w:rPr>
              <w:instrText>°C hotter than the hydrous clinopyroxene liquidus with ~0.1</w:instrText>
            </w:r>
            <w:r w:rsidRPr="007C6C48">
              <w:rPr>
                <w:rFonts w:cs="Times New Roman"/>
              </w:rPr>
              <w:instrText> </w:instrText>
            </w:r>
            <w:r w:rsidRPr="007C6C48">
              <w:rPr>
                <w:rFonts w:ascii="Roboto" w:hAnsi="Roboto"/>
              </w:rPr>
              <w:instrText>wt%</w:instrText>
            </w:r>
            <w:r w:rsidRPr="007C6C48">
              <w:rPr>
                <w:rFonts w:cs="Times New Roman"/>
              </w:rPr>
              <w:instrText> </w:instrText>
            </w:r>
            <w:r w:rsidRPr="007C6C48">
              <w:rPr>
                <w:rFonts w:ascii="Roboto" w:hAnsi="Roboto"/>
              </w:rPr>
              <w:instrText>S in the liquidus melt as SO42− and the liquidus depression with further S-enrichment to anhydrite saturation (~2</w:instrText>
            </w:r>
            <w:r w:rsidRPr="007C6C48">
              <w:rPr>
                <w:rFonts w:cs="Times New Roman"/>
              </w:rPr>
              <w:instrText> </w:instrText>
            </w:r>
            <w:r w:rsidRPr="007C6C48">
              <w:rPr>
                <w:rFonts w:ascii="Roboto" w:hAnsi="Roboto"/>
              </w:rPr>
              <w:instrText>wt%</w:instrText>
            </w:r>
            <w:r w:rsidRPr="007C6C48">
              <w:rPr>
                <w:rFonts w:cs="Times New Roman"/>
              </w:rPr>
              <w:instrText> </w:instrText>
            </w:r>
            <w:r w:rsidRPr="007C6C48">
              <w:rPr>
                <w:rFonts w:ascii="Roboto" w:hAnsi="Roboto"/>
              </w:rPr>
              <w:instrText>S) can be fitted by a power function ΔT (°C)</w:instrText>
            </w:r>
            <w:r w:rsidRPr="007C6C48">
              <w:rPr>
                <w:rFonts w:cs="Times New Roman"/>
              </w:rPr>
              <w:instrText> </w:instrText>
            </w:r>
            <w:r w:rsidRPr="007C6C48">
              <w:rPr>
                <w:rFonts w:ascii="Roboto" w:hAnsi="Roboto"/>
              </w:rPr>
              <w:instrText>=</w:instrText>
            </w:r>
            <w:r w:rsidRPr="007C6C48">
              <w:rPr>
                <w:rFonts w:cs="Times New Roman"/>
              </w:rPr>
              <w:instrText> </w:instrText>
            </w:r>
            <w:r w:rsidRPr="007C6C48">
              <w:rPr>
                <w:rFonts w:ascii="Roboto" w:hAnsi="Roboto"/>
              </w:rPr>
              <w:instrText>26.52(±3.48)(Smelt in wt%)0.24(±0.06). Anhydrite-saturated experiments show that SCAS increases with increasing temperature and CaO content of melt and decreases with increasing SiO2 content of the melt. Previous SCAS models based mostly on lower P-T experiments and/or on silicic melt compositions can't capture our new experimental SCAS data. A new SCAS parameterization was developed using previous and our new experimental data. Calculations using our new parameterization and assuming 200–500</w:instrText>
            </w:r>
            <w:r w:rsidRPr="007C6C48">
              <w:rPr>
                <w:rFonts w:cs="Times New Roman"/>
              </w:rPr>
              <w:instrText> </w:instrText>
            </w:r>
            <w:r w:rsidRPr="007C6C48">
              <w:rPr>
                <w:rFonts w:ascii="Roboto" w:hAnsi="Roboto"/>
              </w:rPr>
              <w:instrText>ppm</w:instrText>
            </w:r>
            <w:r w:rsidRPr="007C6C48">
              <w:rPr>
                <w:rFonts w:cs="Times New Roman"/>
              </w:rPr>
              <w:instrText> </w:instrText>
            </w:r>
            <w:r w:rsidRPr="007C6C48">
              <w:rPr>
                <w:rFonts w:ascii="Roboto" w:hAnsi="Roboto"/>
              </w:rPr>
              <w:instrText>S in the arc mantle show that &lt;10% hydrous melting of mantle wedge would exhaust anhydrite, if present. Therefore, anhydrite even if present is expected to be exhausted by partial melting in the mantle wedge and parental basaltic melt will extract similar amount of S via mantle melting irrespective of the presence of sulfide or sulfate at subsolidus conditions. The S content, as dissolved SO42−, of hydrous arc basalts produced by 10–30% melting will be 500–4000</w:instrText>
            </w:r>
            <w:r w:rsidRPr="007C6C48">
              <w:rPr>
                <w:rFonts w:cs="Times New Roman"/>
              </w:rPr>
              <w:instrText> </w:instrText>
            </w:r>
            <w:r w:rsidRPr="007C6C48">
              <w:rPr>
                <w:rFonts w:ascii="Roboto" w:hAnsi="Roboto"/>
              </w:rPr>
              <w:instrText>ppm, which is comparable to the melt inclusion S contents from various arcs. The sulfate undersaturated basalts may assimilate crustal sulfate and lead to high observed SO2 flux at the arcs, known as the “excess S”.","author":[{"dropping-particle":"","family":"Chowdhury","given":"Proteek","non-dropping-particle":"","parse-names":false,"suffix":""},{"dropping-particle":"","family":"Dasgupta","given":"Rajdeep","non-dropping-particle":"","parse-names":false,"suffix":""}],"container-title":"Chemical Geology","id":"ITEM-1","issued":{"date-parts":[["2019","9","20"]]},"page":"162-174","publisher":"Elsevier","title":"Effect of sulfate on the basaltic liquidus and Sulfur Concentration at Anhydrite Saturation (SCAS) of hydrous basalts – Implications for sulfur cycle in subduction zones","type":"article-journal","volume":"522"},"uris":["http://www.mendeley.com/documents/?uuid=199350fe-e46d-303a-b80f-f6d7a3be9e4c"]}],"mendeley":{"formattedCitation":"(Chowdhury and Dasgupta, 2019)","manualFormatting":"Chowdhury and Dasgupta (2019)","plainTextFormattedCitation":"(Chowdhury and Dasgupta, 2019)","previouslyFormattedCitation":"(Chowdhury and Dasgupta, 2019)"},"properties":{"noteIndex":0},"schema":"https://github.com/citation-style-language/schema/raw/master/csl-citation.json"}</w:instrText>
            </w:r>
            <w:r w:rsidRPr="007C6C48">
              <w:rPr>
                <w:rFonts w:ascii="Roboto" w:hAnsi="Roboto"/>
              </w:rPr>
              <w:fldChar w:fldCharType="separate"/>
            </w:r>
            <w:r w:rsidRPr="007C6C48">
              <w:rPr>
                <w:rFonts w:ascii="Roboto" w:hAnsi="Roboto"/>
                <w:noProof/>
              </w:rPr>
              <w:t>Chowdhury and Dasgupta (2019)</w:t>
            </w:r>
            <w:r w:rsidRPr="007C6C48">
              <w:rPr>
                <w:rFonts w:ascii="Roboto" w:hAnsi="Roboto"/>
              </w:rPr>
              <w:fldChar w:fldCharType="end"/>
            </w:r>
            <w:r w:rsidRPr="007C6C48">
              <w:rPr>
                <w:rFonts w:ascii="Roboto" w:hAnsi="Roboto"/>
              </w:rPr>
              <w:t xml:space="preserve"> </w:t>
            </w:r>
            <w:r w:rsidRPr="007C6C48">
              <w:rPr>
                <w:rFonts w:ascii="Roboto" w:hAnsi="Roboto"/>
                <w:color w:val="000000" w:themeColor="text1"/>
              </w:rPr>
              <w:t>using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D33A2" w:rsidRPr="007C6C48" w14:paraId="70A4FCAF" w14:textId="77777777" w:rsidTr="00B45276">
        <w:tc>
          <w:tcPr>
            <w:tcW w:w="1136" w:type="dxa"/>
          </w:tcPr>
          <w:p w14:paraId="3563573A" w14:textId="77777777" w:rsidR="002D33A2" w:rsidRPr="007C6C48" w:rsidRDefault="002D33A2" w:rsidP="002D33A2">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3F16229D" w14:textId="77777777" w:rsidR="002D33A2" w:rsidRPr="007C6C48" w:rsidRDefault="002D33A2" w:rsidP="002D33A2">
            <w:pPr>
              <w:pStyle w:val="NoSpacing"/>
              <w:spacing w:after="0"/>
              <w:jc w:val="right"/>
              <w:rPr>
                <w:rFonts w:ascii="Roboto" w:hAnsi="Roboto"/>
              </w:rPr>
            </w:pPr>
            <w:r w:rsidRPr="007C6C48">
              <w:rPr>
                <w:rFonts w:ascii="Roboto" w:hAnsi="Roboto"/>
              </w:rPr>
              <w:t>700–1325</w:t>
            </w:r>
          </w:p>
        </w:tc>
        <w:tc>
          <w:tcPr>
            <w:tcW w:w="960" w:type="dxa"/>
          </w:tcPr>
          <w:p w14:paraId="4F3AB302" w14:textId="77777777" w:rsidR="002D33A2" w:rsidRPr="007C6C48" w:rsidRDefault="002D33A2" w:rsidP="002D33A2">
            <w:pPr>
              <w:pStyle w:val="NoSpacing"/>
              <w:spacing w:after="0"/>
              <w:jc w:val="right"/>
              <w:rPr>
                <w:rFonts w:ascii="Roboto" w:hAnsi="Roboto"/>
              </w:rPr>
            </w:pPr>
            <w:r w:rsidRPr="007C6C48">
              <w:rPr>
                <w:rFonts w:ascii="Roboto" w:hAnsi="Roboto"/>
              </w:rPr>
              <w:t xml:space="preserve">300–30000 </w:t>
            </w:r>
          </w:p>
        </w:tc>
        <w:tc>
          <w:tcPr>
            <w:tcW w:w="1620" w:type="dxa"/>
          </w:tcPr>
          <w:p w14:paraId="19F222A1" w14:textId="77777777" w:rsidR="002D33A2" w:rsidRPr="007C6C48" w:rsidRDefault="002D33A2" w:rsidP="002D33A2">
            <w:pPr>
              <w:pStyle w:val="NoSpacing"/>
              <w:spacing w:after="0"/>
              <w:rPr>
                <w:rFonts w:ascii="Roboto" w:hAnsi="Roboto"/>
              </w:rPr>
            </w:pPr>
            <w:r w:rsidRPr="007C6C48">
              <w:rPr>
                <w:rFonts w:ascii="Roboto" w:hAnsi="Roboto"/>
              </w:rPr>
              <w:t>Basalt to rhyolite</w:t>
            </w:r>
          </w:p>
        </w:tc>
        <w:tc>
          <w:tcPr>
            <w:tcW w:w="1894" w:type="dxa"/>
          </w:tcPr>
          <w:p w14:paraId="5E240D96" w14:textId="06C7AC91" w:rsidR="002D33A2" w:rsidRPr="007C6C48" w:rsidRDefault="002D33A2" w:rsidP="002D33A2">
            <w:pPr>
              <w:pStyle w:val="NoSpacing"/>
              <w:spacing w:after="0"/>
              <w:rPr>
                <w:rFonts w:ascii="Roboto" w:hAnsi="Roboto"/>
              </w:rPr>
            </w:pPr>
            <w:r w:rsidRPr="007C6C48">
              <w:rPr>
                <w:rFonts w:ascii="Roboto" w:hAnsi="Roboto"/>
              </w:rPr>
              <w:t>By PySulfSat</w:t>
            </w:r>
          </w:p>
        </w:tc>
        <w:tc>
          <w:tcPr>
            <w:tcW w:w="2579" w:type="dxa"/>
          </w:tcPr>
          <w:p w14:paraId="7927383A" w14:textId="016BD8EC" w:rsidR="002D33A2" w:rsidRPr="007C6C48" w:rsidRDefault="002D33A2" w:rsidP="002D33A2">
            <w:pPr>
              <w:pStyle w:val="NoSpacing"/>
              <w:spacing w:after="0"/>
              <w:rPr>
                <w:rFonts w:ascii="Roboto" w:hAnsi="Roboto"/>
              </w:rPr>
            </w:pPr>
            <w:r w:rsidRPr="007C6C48">
              <w:rPr>
                <w:rFonts w:ascii="Roboto" w:hAnsi="Roboto"/>
              </w:rPr>
              <w:t xml:space="preserve">Eq. (8–14) in </w:t>
            </w:r>
            <w:r w:rsidRPr="007C6C48">
              <w:rPr>
                <w:rFonts w:ascii="Roboto" w:hAnsi="Roboto"/>
              </w:rPr>
              <w:fldChar w:fldCharType="begin" w:fldLock="1"/>
            </w:r>
            <w:r w:rsidRPr="007C6C48">
              <w:rPr>
                <w:rFonts w:ascii="Roboto" w:hAnsi="Roboto"/>
              </w:rPr>
              <w:instrText>ADDIN CSL_CITATION {"citationItems":[{"id":"ITEM-1","itemData":{"DOI":"10.1016/J.GCA.2019.07.007","ISSN":"0016-7037","abstract":"Magmatic sulfur is an essential constituent for the genesis of porphyry-type ore deposits and also significantly affects the Earth’s climate when emitted into the atmosphere. As an increasing number of studies indicate that anhydrite commonly occurs as primary igneous mineral in arc magmas, any quantitative model aiming to assess the efficiency of sulfur degassing from magmas must take the potential presence of anhydrite into account. To facilitate this, we present a new empirical model to predict the solubility of anhydrite in silicate melts as a function of pressure (P), temperature (T) and silicate melt composition. The model is based on 189 experimental data points, encompassing T from 750 to 1325 °C, P from 30 to 3000</w:instrText>
            </w:r>
            <w:r w:rsidRPr="007C6C48">
              <w:rPr>
                <w:rFonts w:cs="Times New Roman"/>
              </w:rPr>
              <w:instrText> </w:instrText>
            </w:r>
            <w:r w:rsidRPr="007C6C48">
              <w:rPr>
                <w:rFonts w:ascii="Roboto" w:hAnsi="Roboto"/>
              </w:rPr>
              <w:instrText>MPa and basaltic to rhyolitic melt compositions. Fifteen of these experiments were conducted as part of this study in rapid-quench Molybdenum – Hafnium Carbide pressure vessel assemblies to obtain tighter constraints on the effect of water concentration, P and T on anhydrite solubility. These experiments show that anhydrite solubility in the silicate melt rapidly increases with increasing T following Arrhenius relationship. The solubility of anhydrite also increases with increasing dissolved water concentration, with the relative increase being the most significant for felsic melt compositions. The new model predicts sulfur concentration at anhydrite saturation (SCAS) in the silicate melt with median and mean absolute percentage errors of 19 and 25 relative%, respectively. The model is equally successful over the entire P, T and compositional space included in its calibration. This is a significant improvement over most previously published models, which were calibrated based on a more limited P, T and compositional range, and predict SCAS with significantly larger errors when applied to the entire dataset utilized in this study. The implementation of the new anhydrite saturation model in an example scenario of the crystallization of a hydrous andesite magma at P</w:instrText>
            </w:r>
            <w:r w:rsidRPr="007C6C48">
              <w:rPr>
                <w:rFonts w:cs="Times New Roman"/>
              </w:rPr>
              <w:instrText> </w:instrText>
            </w:r>
            <w:r w:rsidRPr="007C6C48">
              <w:rPr>
                <w:rFonts w:ascii="Roboto" w:hAnsi="Roboto"/>
              </w:rPr>
              <w:instrText>=</w:instrText>
            </w:r>
            <w:r w:rsidRPr="007C6C48">
              <w:rPr>
                <w:rFonts w:cs="Times New Roman"/>
              </w:rPr>
              <w:instrText> </w:instrText>
            </w:r>
            <w:r w:rsidRPr="007C6C48">
              <w:rPr>
                <w:rFonts w:ascii="Roboto" w:hAnsi="Roboto"/>
              </w:rPr>
              <w:instrText>200</w:instrText>
            </w:r>
            <w:r w:rsidRPr="007C6C48">
              <w:rPr>
                <w:rFonts w:cs="Times New Roman"/>
              </w:rPr>
              <w:instrText> </w:instrText>
            </w:r>
            <w:r w:rsidRPr="007C6C48">
              <w:rPr>
                <w:rFonts w:ascii="Roboto" w:hAnsi="Roboto"/>
              </w:rPr>
              <w:instrText>MPa suggests that anhydrite saturation may severely limit the amount of S that can be transferred into the exsolving magmatic volatile phase during crystallization-driven degassing of upper crustal magma reservoirs.","author":[{"dropping-particle":"","family":"Zajacz","given":"Zoltán","non-dropping-particle":"","parse-names":false,"suffix":""},{"dropping-particle":"","family":"Tsay","given":"Alexandra","non-dropping-particle":"","parse-names":false,"suffix":""}],"container-title":"Geochimica et Cosmochimica Acta","id":"ITEM-1","issued":{"date-parts":[["2019","9","15"]]},"page":"288-304","publisher":"Pergamon","title":"An accurate model to predict sulfur concentration at anhydrite saturation in silicate melts","type":"article-journal","volume":"261"},"uris":["http://www.mendeley.com/documents/?uuid=c8828b9e-18da-3ad3-899b-e9a35c01542e"]}],"mendeley":{"formattedCitation":"(Zajacz and Tsay, 2019)","manualFormatting":"Zajacz and Tsay (2019)","plainTextFormattedCitation":"(Zajacz and Tsay, 2019)","previouslyFormattedCitation":"(Zajacz and Tsay, 2019)"},"properties":{"noteIndex":0},"schema":"https://github.com/citation-style-language/schema/raw/master/csl-citation.json"}</w:instrText>
            </w:r>
            <w:r w:rsidRPr="007C6C48">
              <w:rPr>
                <w:rFonts w:ascii="Roboto" w:hAnsi="Roboto"/>
              </w:rPr>
              <w:fldChar w:fldCharType="separate"/>
            </w:r>
            <w:r w:rsidRPr="007C6C48">
              <w:rPr>
                <w:rFonts w:ascii="Roboto" w:hAnsi="Roboto"/>
                <w:noProof/>
              </w:rPr>
              <w:t>Zajacz and Tsay (2019)</w:t>
            </w:r>
            <w:r w:rsidRPr="007C6C48">
              <w:rPr>
                <w:rFonts w:ascii="Roboto" w:hAnsi="Roboto"/>
              </w:rPr>
              <w:fldChar w:fldCharType="end"/>
            </w:r>
            <w:r w:rsidRPr="007C6C48">
              <w:rPr>
                <w:rFonts w:ascii="Roboto" w:hAnsi="Roboto"/>
              </w:rPr>
              <w:t xml:space="preserve"> </w:t>
            </w:r>
            <w:r w:rsidRPr="007C6C48">
              <w:rPr>
                <w:rFonts w:ascii="Roboto" w:hAnsi="Roboto"/>
                <w:color w:val="000000" w:themeColor="text1"/>
              </w:rPr>
              <w:t>using PySulfSat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{"citationItems":[{"id":"ITEM-1","itemData":{"DOI":"10.30909/VOL.06.01.107127","ISSN":"2610-3540","abstract":"We present PySulfSat, an open-source Python3 tool for modeling sulfide and anhydrite saturation in magmas. PySulfSat supports a variety of data types (spreadsheets, Petrolog3 outputs, MELTS tbl files). PySulfSat can be used with alphaMELTS for Python infrastructure to track sulfur solubility during fractional crystallization within a single Jupyter Notebook. PySulfSat allows far more customization of calculations than existing tools. For example, the SCSS2− could be calculated with one model using the sulfide composition from a parameterization released with a different SCSS2− model. There are also functions for calculating the proportion of S6+/STot, allowing modeled SCSS and SCAS values to be converted into total S solubility to compare to natural data. We also contain functions for modeling mantle melting in the presence of sulfides using a variety of SCSS and KD models. Extensive documentation and worked examples are available at ReadTheDocs (https://bit.ly/PySulfSatRTD) along with narrated YouTube videos (https://bit.ly/PySulfSatYouTube).","author":[{"dropping-particle":"","family":"Wieser","given":"Penny E.","non-dropping-particle":"","parse-names":false,"suffix":""},{"dropping-particle":"","family":"Gleeson","given":"Matthew","non-dropping-particle":"","parse-names":false,"suffix":""}],"container-title":"Volcanica","id":"ITEM-1","issue":"1","issued":{"date-parts":[["2023","5","15"]]},"page":"107-127","publisher":"Volcanica","title":"PySulfSat: An open-source Python3 tool for modeling sulfide and sulfate saturation","type":"article-journal","volume":"6"},"uris":["http://www.mendeley.com/documents/?uuid=b3e259a9-d7e6-350a-8ed1-89bd290083ac"]}],"mendeley":{"formattedCitation":"(Wieser and Gleeson, 2023)","manualFormatting":"Wieser and Gleeson, 2023)","plainTextFormattedCitation":"(Wieser and Gleeson, 2023)","previouslyFormattedCitation":"(Wieser and Gleeson, 2023)"},"properties":{"noteIndex":0},"schema":"https://github.com/citation-style-language/schema/raw/master/csl-citation.json"}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Wieser and Gleeson, 2023)</w:t>
            </w:r>
            <w:r w:rsidRPr="007C6C48">
              <w:rPr>
                <w:rFonts w:ascii="Roboto" w:hAnsi="Roboto"/>
                <w:color w:val="000000" w:themeColor="text1"/>
              </w:rPr>
              <w:fldChar w:fldCharType="end"/>
            </w:r>
          </w:p>
        </w:tc>
      </w:tr>
      <w:tr w:rsidR="002D33A2" w:rsidRPr="007C6C48" w14:paraId="6640D068" w14:textId="77777777" w:rsidTr="00B45276">
        <w:tc>
          <w:tcPr>
            <w:tcW w:w="1136" w:type="dxa"/>
          </w:tcPr>
          <w:p w14:paraId="047EA9E8" w14:textId="77777777" w:rsidR="002D33A2" w:rsidRPr="007C6C48" w:rsidRDefault="002D33A2" w:rsidP="002D33A2">
            <w:pPr>
              <w:pStyle w:val="NoSpacing"/>
              <w:spacing w:after="0"/>
              <w:rPr>
                <w:rFonts w:ascii="Roboto" w:hAnsi="Roboto"/>
              </w:rPr>
            </w:pPr>
            <w:r w:rsidRPr="007C6C48">
              <w:rPr>
                <w:rFonts w:ascii="Roboto" w:hAnsi="Roboto"/>
                <w:i/>
                <w:iCs/>
                <w:color w:val="000000" w:themeColor="text1"/>
              </w:rPr>
              <w:t>T</w:t>
            </w:r>
            <w:r w:rsidRPr="007C6C48">
              <w:rPr>
                <w:rFonts w:ascii="Roboto" w:hAnsi="Roboto"/>
                <w:color w:val="000000" w:themeColor="text1"/>
              </w:rPr>
              <w:t xml:space="preserve">, </w:t>
            </w:r>
            <w:r w:rsidRPr="007C6C48">
              <w:rPr>
                <w:rFonts w:ascii="Roboto" w:hAnsi="Roboto"/>
                <w:i/>
                <w:iCs/>
                <w:color w:val="000000" w:themeColor="text1"/>
              </w:rPr>
              <w:t>X</w:t>
            </w:r>
            <w:r w:rsidRPr="007C6C48">
              <w:rPr>
                <w:rFonts w:ascii="Roboto" w:hAnsi="Roboto"/>
                <w:color w:val="000000" w:themeColor="text1"/>
                <w:vertAlign w:val="subscript"/>
              </w:rPr>
              <w:t>sil</w:t>
            </w:r>
            <w:r w:rsidRPr="007C6C48">
              <w:rPr>
                <w:rFonts w:ascii="Roboto" w:hAnsi="Roboto"/>
                <w:color w:val="000000" w:themeColor="text1"/>
              </w:rPr>
              <w:t>, H</w:t>
            </w:r>
            <w:r w:rsidRPr="007C6C48">
              <w:rPr>
                <w:rFonts w:ascii="Roboto" w:hAnsi="Roboto"/>
                <w:color w:val="000000" w:themeColor="text1"/>
                <w:vertAlign w:val="subscript"/>
              </w:rPr>
              <w:t>2</w:t>
            </w:r>
            <w:r w:rsidRPr="007C6C48">
              <w:rPr>
                <w:rFonts w:ascii="Roboto" w:hAnsi="Roboto"/>
                <w:color w:val="000000" w:themeColor="text1"/>
              </w:rPr>
              <w:t>O</w:t>
            </w:r>
          </w:p>
        </w:tc>
        <w:tc>
          <w:tcPr>
            <w:tcW w:w="827" w:type="dxa"/>
          </w:tcPr>
          <w:p w14:paraId="0A48E527" w14:textId="77777777" w:rsidR="002D33A2" w:rsidRPr="007C6C48" w:rsidRDefault="002D33A2" w:rsidP="002D33A2">
            <w:pPr>
              <w:pStyle w:val="NoSpacing"/>
              <w:spacing w:after="0"/>
              <w:jc w:val="right"/>
              <w:rPr>
                <w:rFonts w:ascii="Roboto" w:hAnsi="Roboto"/>
              </w:rPr>
            </w:pPr>
            <w:r w:rsidRPr="007C6C48">
              <w:rPr>
                <w:rFonts w:ascii="Roboto" w:hAnsi="Roboto"/>
              </w:rPr>
              <w:t xml:space="preserve">700–1350 </w:t>
            </w:r>
          </w:p>
        </w:tc>
        <w:tc>
          <w:tcPr>
            <w:tcW w:w="960" w:type="dxa"/>
          </w:tcPr>
          <w:p w14:paraId="298BC1AA" w14:textId="77777777" w:rsidR="002D33A2" w:rsidRPr="007C6C48" w:rsidRDefault="002D33A2" w:rsidP="002D33A2">
            <w:pPr>
              <w:pStyle w:val="NoSpacing"/>
              <w:spacing w:after="0"/>
              <w:jc w:val="right"/>
              <w:rPr>
                <w:rFonts w:ascii="Roboto" w:hAnsi="Roboto"/>
              </w:rPr>
            </w:pPr>
            <w:r w:rsidRPr="007C6C48">
              <w:rPr>
                <w:rFonts w:ascii="Roboto" w:hAnsi="Roboto"/>
              </w:rPr>
              <w:t xml:space="preserve">300–50000 </w:t>
            </w:r>
          </w:p>
        </w:tc>
        <w:tc>
          <w:tcPr>
            <w:tcW w:w="1620" w:type="dxa"/>
          </w:tcPr>
          <w:p w14:paraId="71916EF2" w14:textId="77777777" w:rsidR="002D33A2" w:rsidRPr="007C6C48" w:rsidRDefault="002D33A2" w:rsidP="002D33A2">
            <w:pPr>
              <w:pStyle w:val="NoSpacing"/>
              <w:spacing w:after="0"/>
              <w:rPr>
                <w:rFonts w:ascii="Roboto" w:hAnsi="Roboto"/>
              </w:rPr>
            </w:pPr>
            <w:r w:rsidRPr="007C6C48">
              <w:rPr>
                <w:rFonts w:ascii="Roboto" w:hAnsi="Roboto"/>
              </w:rPr>
              <w:t>Basalt to rhyolite</w:t>
            </w:r>
          </w:p>
        </w:tc>
        <w:tc>
          <w:tcPr>
            <w:tcW w:w="1894" w:type="dxa"/>
          </w:tcPr>
          <w:p w14:paraId="71EF14CC" w14:textId="1A8113D9" w:rsidR="002D33A2" w:rsidRPr="007C6C48" w:rsidRDefault="002D33A2" w:rsidP="002D33A2">
            <w:pPr>
              <w:pStyle w:val="NoSpacing"/>
              <w:spacing w:after="0"/>
              <w:rPr>
                <w:rFonts w:ascii="Roboto" w:hAnsi="Roboto"/>
              </w:rPr>
            </w:pPr>
            <w:r w:rsidRPr="007C6C48">
              <w:rPr>
                <w:rFonts w:ascii="Roboto" w:hAnsi="Roboto"/>
              </w:rPr>
              <w:t>-</w:t>
            </w:r>
          </w:p>
        </w:tc>
        <w:tc>
          <w:tcPr>
            <w:tcW w:w="2579" w:type="dxa"/>
          </w:tcPr>
          <w:p w14:paraId="735A3219" w14:textId="282A1833" w:rsidR="002D33A2" w:rsidRPr="007C6C48" w:rsidRDefault="002D33A2" w:rsidP="002D33A2">
            <w:pPr>
              <w:pStyle w:val="NoSpacing"/>
              <w:spacing w:after="0"/>
              <w:rPr>
                <w:rFonts w:ascii="Roboto" w:hAnsi="Roboto"/>
              </w:rPr>
            </w:pPr>
            <w:r w:rsidRPr="007C6C48">
              <w:rPr>
                <w:rFonts w:ascii="Roboto" w:hAnsi="Roboto"/>
              </w:rPr>
              <w:t xml:space="preserve">Eq. (4) in </w:t>
            </w:r>
            <w:r w:rsidRPr="007C6C48">
              <w:rPr>
                <w:rFonts w:ascii="Roboto" w:hAnsi="Roboto"/>
              </w:rPr>
              <w:fldChar w:fldCharType="begin" w:fldLock="1"/>
            </w:r>
            <w:r w:rsidRPr="007C6C48">
              <w:rPr>
                <w:rFonts w:ascii="Roboto" w:hAnsi="Roboto"/>
              </w:rPr>
              <w:instrText>ADDIN CSL_CITATION {"citationItems":[{"id":"ITEM-1","itemData":{"DOI":"10.1016/J.GCA.2023.04.007","ISSN":"0016-7037","abstract":"The capacity of slab-derived melt in mobilizing sulfur from the slab to the mantle wedge is essential for understanding global S cycling in subduction zones of the present or ancient Earth. The promotive role of the CaO constituent in the silicate melts, provided chiefly by subducting sediments, in anhydrite dissolution in silicate melts has been noted before. Nevertheless, the dependence of SCAS, sulfur concentration in the melt at anhydrite saturation, on melt CaO concentration and the underlying dissolution mechanism have yet to be well constrained. Using a piston-cylinder apparatus, we carried out five series of phase equilibrium experiments between anhydrite and felsic melts to obtain constraints on the effect of melt CaO concentration, water concentration, temperature (T), and Ca/(Ca+Mg) ratios on SCAS at 1–3 GPa and 1050–1350 °C. Electron probe microanalyses of quenched products confirmed that the dissolved sulfur was predominantly present as SO42−. The experimental results show that SCAS increased significantly with increasing melt CaO and Ca/(Ca+Mg) ratios at a fixed degree of silicate melt polymerization (NBO/T = 0.43 ± 0.01). The SCAS also increased with increasing T and dissolved water concentration, and the effect of water was non-linear. Previous SCAS models could not capture well enough our new experimental data, therefore a new SCAS parameterization was developed using previous and our new experimental data. With our new results and model, we find that slab melts with high CaO concentration could efficiently transport S from the slab to the mantle wedge in the Archean. Slab melts in modern hot subduction zones can carry more than 1800 ppm sulfur, raising S concentration in the mantle wedge to the lower end of the observed level by metasomatism. In modern intermediate or colder subduction zones, however, slab melt is not an effective agent of sulfur transfer even at CaO concentration &gt;10 wt%.","author":[{"dropping-particle":"","family":"Liu","given":"Kang","non-dropping-particle":"","parse-names":false,"suffix":""},{"dropping-particle":"","family":"Zhang","given":"Li","non-dropping-particle":"","parse-names":false,"suffix":""},{"dropping-particle":"","family":"Ni","given":"Huaiwei","non-dropping-particle":"","parse-names":false,"suffix":""}],"container-title":"Geochimica et Cosmochimica Acta","id":"ITEM-1","issued":{"date-parts":[["2023","5","15"]]},"page":"135-145","publisher":"Pergamon","title":"Anhydrite solubility enhanced by CaO in silicate melts: Implications for sulfur cycling in subduction zones","type":"article-journal","volume":"349"},"uris":["http://www.mendeley.com/documents/?uuid=209646cd-099e-3a8b-a8a9-72bce8daa7bc"]}],"mendeley":{"formattedCitation":"(Liu et al., 2023)","manualFormatting":"Liu et al. (2023)","plainTextFormattedCitation":"(Liu et al., 2023)","previouslyFormattedCitation":"(Liu et al., 2023)"},"properties":{"noteIndex":0},"schema":"https://github.com/citation-style-language/schema/raw/master/csl-citation.json"}</w:instrText>
            </w:r>
            <w:r w:rsidRPr="007C6C48">
              <w:rPr>
                <w:rFonts w:ascii="Roboto" w:hAnsi="Roboto"/>
              </w:rPr>
              <w:fldChar w:fldCharType="separate"/>
            </w:r>
            <w:r w:rsidRPr="007C6C48">
              <w:rPr>
                <w:rFonts w:ascii="Roboto" w:hAnsi="Roboto"/>
                <w:noProof/>
              </w:rPr>
              <w:t>Liu et al. (2023)</w:t>
            </w:r>
            <w:r w:rsidRPr="007C6C48">
              <w:rPr>
                <w:rFonts w:ascii="Roboto" w:hAnsi="Roboto"/>
              </w:rPr>
              <w:fldChar w:fldCharType="end"/>
            </w:r>
          </w:p>
        </w:tc>
      </w:tr>
      <w:tr w:rsidR="002D33A2" w:rsidRPr="007C6C48" w14:paraId="022F285D" w14:textId="77777777" w:rsidTr="00025882">
        <w:tc>
          <w:tcPr>
            <w:tcW w:w="9016" w:type="dxa"/>
            <w:gridSpan w:val="6"/>
            <w:tcBorders>
              <w:top w:val="single" w:sz="8" w:space="0" w:color="auto"/>
            </w:tcBorders>
            <w:shd w:val="clear" w:color="auto" w:fill="E7E6E6" w:themeFill="background2"/>
          </w:tcPr>
          <w:p w14:paraId="5F881233" w14:textId="7BFDBFC1" w:rsidR="002D33A2" w:rsidRPr="007C6C48" w:rsidRDefault="002D33A2" w:rsidP="002D33A2">
            <w:pPr>
              <w:pStyle w:val="NoSpacing"/>
              <w:spacing w:after="0"/>
              <w:rPr>
                <w:rFonts w:ascii="Roboto" w:hAnsi="Roboto"/>
              </w:rPr>
            </w:pPr>
            <w:r w:rsidRPr="007C6C48">
              <w:rPr>
                <w:rFonts w:ascii="Roboto" w:hAnsi="Roboto"/>
              </w:rPr>
              <w:t>Graphite saturation</w:t>
            </w:r>
          </w:p>
        </w:tc>
      </w:tr>
      <w:tr w:rsidR="002D33A2" w:rsidRPr="007C6C48" w14:paraId="1A30C993" w14:textId="77777777" w:rsidTr="008C68F9">
        <w:tc>
          <w:tcPr>
            <w:tcW w:w="1136" w:type="dxa"/>
            <w:tcBorders>
              <w:top w:val="single" w:sz="8" w:space="0" w:color="auto"/>
              <w:bottom w:val="single" w:sz="8" w:space="0" w:color="auto"/>
            </w:tcBorders>
          </w:tcPr>
          <w:p w14:paraId="662C3899" w14:textId="77777777" w:rsidR="002D33A2" w:rsidRPr="007C6C48" w:rsidRDefault="002D33A2" w:rsidP="002D33A2">
            <w:pPr>
              <w:pStyle w:val="NoSpacing"/>
              <w:spacing w:after="0"/>
              <w:rPr>
                <w:rFonts w:ascii="Roboto" w:hAnsi="Roboto"/>
              </w:rPr>
            </w:pPr>
            <w:r w:rsidRPr="007C6C48">
              <w:rPr>
                <w:rFonts w:ascii="Roboto" w:hAnsi="Roboto"/>
                <w:i/>
                <w:iCs/>
              </w:rPr>
              <w:t>P</w:t>
            </w:r>
            <w:r w:rsidRPr="007C6C48">
              <w:rPr>
                <w:rFonts w:ascii="Roboto" w:hAnsi="Roboto"/>
              </w:rPr>
              <w:t xml:space="preserve">, </w:t>
            </w:r>
            <w:r w:rsidRPr="007C6C48">
              <w:rPr>
                <w:rFonts w:ascii="Roboto" w:hAnsi="Roboto"/>
                <w:i/>
                <w:iCs/>
              </w:rPr>
              <w:t>T</w:t>
            </w:r>
          </w:p>
        </w:tc>
        <w:tc>
          <w:tcPr>
            <w:tcW w:w="827" w:type="dxa"/>
            <w:tcBorders>
              <w:top w:val="single" w:sz="8" w:space="0" w:color="auto"/>
              <w:bottom w:val="single" w:sz="8" w:space="0" w:color="auto"/>
            </w:tcBorders>
          </w:tcPr>
          <w:p w14:paraId="498423FE" w14:textId="77777777" w:rsidR="002D33A2" w:rsidRPr="007C6C48" w:rsidRDefault="002D33A2" w:rsidP="002D33A2">
            <w:pPr>
              <w:pStyle w:val="NoSpacing"/>
              <w:spacing w:after="0"/>
              <w:jc w:val="center"/>
              <w:rPr>
                <w:rFonts w:ascii="Roboto" w:hAnsi="Roboto"/>
              </w:rPr>
            </w:pPr>
            <w:r w:rsidRPr="007C6C48">
              <w:rPr>
                <w:rFonts w:ascii="Roboto" w:hAnsi="Roboto"/>
              </w:rPr>
              <w:t>–</w:t>
            </w:r>
          </w:p>
        </w:tc>
        <w:tc>
          <w:tcPr>
            <w:tcW w:w="960" w:type="dxa"/>
            <w:tcBorders>
              <w:top w:val="single" w:sz="8" w:space="0" w:color="auto"/>
              <w:bottom w:val="single" w:sz="8" w:space="0" w:color="auto"/>
            </w:tcBorders>
          </w:tcPr>
          <w:p w14:paraId="6D65B305" w14:textId="77777777" w:rsidR="002D33A2" w:rsidRPr="007C6C48" w:rsidRDefault="002D33A2" w:rsidP="002D33A2">
            <w:pPr>
              <w:pStyle w:val="NoSpacing"/>
              <w:spacing w:after="0"/>
              <w:jc w:val="center"/>
              <w:rPr>
                <w:rFonts w:ascii="Roboto" w:hAnsi="Roboto"/>
              </w:rPr>
            </w:pPr>
            <w:r w:rsidRPr="007C6C48">
              <w:rPr>
                <w:rFonts w:ascii="Roboto" w:hAnsi="Roboto"/>
              </w:rPr>
              <w:t>–</w:t>
            </w:r>
          </w:p>
        </w:tc>
        <w:tc>
          <w:tcPr>
            <w:tcW w:w="1620" w:type="dxa"/>
            <w:tcBorders>
              <w:top w:val="single" w:sz="8" w:space="0" w:color="auto"/>
              <w:bottom w:val="single" w:sz="8" w:space="0" w:color="auto"/>
            </w:tcBorders>
          </w:tcPr>
          <w:p w14:paraId="7191A84C" w14:textId="77777777" w:rsidR="002D33A2" w:rsidRPr="007C6C48" w:rsidRDefault="002D33A2" w:rsidP="002D33A2">
            <w:pPr>
              <w:pStyle w:val="NoSpacing"/>
              <w:spacing w:after="0"/>
              <w:rPr>
                <w:rFonts w:ascii="Roboto" w:hAnsi="Roboto"/>
              </w:rPr>
            </w:pPr>
            <w:r w:rsidRPr="007C6C48">
              <w:rPr>
                <w:rFonts w:ascii="Roboto" w:hAnsi="Roboto"/>
              </w:rPr>
              <w:t>n/a</w:t>
            </w:r>
          </w:p>
        </w:tc>
        <w:tc>
          <w:tcPr>
            <w:tcW w:w="1894" w:type="dxa"/>
            <w:tcBorders>
              <w:top w:val="single" w:sz="8" w:space="0" w:color="auto"/>
              <w:bottom w:val="single" w:sz="8" w:space="0" w:color="auto"/>
            </w:tcBorders>
          </w:tcPr>
          <w:p w14:paraId="715651C7" w14:textId="02671BE7" w:rsidR="002D33A2" w:rsidRPr="007C6C48" w:rsidRDefault="002D33A2" w:rsidP="002D33A2">
            <w:pPr>
              <w:pStyle w:val="NoSpacing"/>
              <w:spacing w:after="0"/>
              <w:rPr>
                <w:rFonts w:ascii="Roboto" w:hAnsi="Roboto"/>
              </w:rPr>
            </w:pPr>
            <w:r w:rsidRPr="007C6C48">
              <w:rPr>
                <w:rFonts w:ascii="Roboto" w:hAnsi="Roboto"/>
              </w:rPr>
              <w:t>Unavailable</w:t>
            </w:r>
          </w:p>
        </w:tc>
        <w:tc>
          <w:tcPr>
            <w:tcW w:w="2579" w:type="dxa"/>
            <w:tcBorders>
              <w:top w:val="single" w:sz="8" w:space="0" w:color="auto"/>
              <w:bottom w:val="single" w:sz="8" w:space="0" w:color="auto"/>
            </w:tcBorders>
          </w:tcPr>
          <w:p w14:paraId="7BF25195" w14:textId="64462069" w:rsidR="002D33A2" w:rsidRPr="007C6C48" w:rsidRDefault="002D33A2" w:rsidP="002D33A2">
            <w:pPr>
              <w:pStyle w:val="NoSpacing"/>
              <w:spacing w:after="0"/>
              <w:rPr>
                <w:rFonts w:ascii="Roboto" w:hAnsi="Roboto"/>
              </w:rPr>
            </w:pPr>
            <w:r w:rsidRPr="007C6C48">
              <w:rPr>
                <w:rFonts w:ascii="Roboto" w:hAnsi="Roboto"/>
              </w:rPr>
              <w:t>Eq. (3) K</w:t>
            </w:r>
            <w:r w:rsidRPr="007C6C48">
              <w:rPr>
                <w:rFonts w:ascii="Roboto" w:hAnsi="Roboto"/>
                <w:vertAlign w:val="subscript"/>
              </w:rPr>
              <w:t>I</w:t>
            </w:r>
            <w:r w:rsidRPr="007C6C48">
              <w:rPr>
                <w:rFonts w:ascii="Roboto" w:hAnsi="Roboto"/>
              </w:rPr>
              <w:t xml:space="preserve"> in </w:t>
            </w:r>
            <w:r w:rsidRPr="007C6C48">
              <w:rPr>
                <w:rFonts w:ascii="Roboto" w:hAnsi="Roboto"/>
              </w:rPr>
              <w:fldChar w:fldCharType="begin" w:fldLock="1"/>
            </w:r>
            <w:r w:rsidRPr="007C6C48">
              <w:rPr>
                <w:rFonts w:ascii="Roboto" w:hAnsi="Roboto"/>
              </w:rPr>
              <w:instrText>ADDIN CSL_CITATION {"citationItems":[{"id":"ITEM-1","itemData":{"author":[{"dropping-particle":"","family":"Holloway","given":"John R.","non-dropping-particle":"","parse-names":false,"suffix":""},{"dropping-particle":"","family":"Pan","given":"Vivian","non-dropping-particle":"","parse-names":false,"suffix":""},{"dropping-particle":"","family":"Gudmundsson","given":"G.B.","non-dropping-particle":"","parse-names":false,"suffix":""}],"container-title":"European Journal of Mineralogy","id":"ITEM-1","issued":{"date-parts":[["1992"]]},"page":"105-114","title":"High-pressure fluid-absent melting experiments in the presence of graphite: oxygen fugacity, ferric/ferrous ratio and dissolved CO2","type":"article-journal","volume":"4"},"uris":["http://www.mendeley.com/documents/?uuid=dab51ad3-ea41-4633-b5e8-346ab0bef32b"]}],"mendeley":{"formattedCitation":"(Holloway et al., 1992)","manualFormatting":"Holloway et al. (1992)","plainTextFormattedCitation":"(Holloway et al., 1992)","previouslyFormattedCitation":"(Holloway et al.,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Holloway et al. (1992)</w:t>
            </w:r>
            <w:r w:rsidRPr="007C6C48">
              <w:rPr>
                <w:rFonts w:ascii="Roboto" w:hAnsi="Roboto"/>
              </w:rPr>
              <w:fldChar w:fldCharType="end"/>
            </w:r>
            <w:r w:rsidRPr="007C6C48">
              <w:rPr>
                <w:rFonts w:ascii="Roboto" w:hAnsi="Roboto"/>
              </w:rPr>
              <w:t xml:space="preserve"> </w:t>
            </w:r>
          </w:p>
        </w:tc>
      </w:tr>
    </w:tbl>
    <w:p w14:paraId="5CB1DD66" w14:textId="77777777" w:rsidR="0016716F" w:rsidRPr="007C6C48" w:rsidRDefault="0016716F" w:rsidP="0016716F">
      <w:pPr>
        <w:pStyle w:val="NoSpacing"/>
        <w:spacing w:after="0"/>
        <w:rPr>
          <w:rFonts w:ascii="Roboto" w:hAnsi="Roboto"/>
          <w:sz w:val="20"/>
          <w:szCs w:val="20"/>
        </w:rPr>
      </w:pPr>
      <w:r w:rsidRPr="007C6C48">
        <w:rPr>
          <w:rFonts w:ascii="Roboto" w:hAnsi="Roboto"/>
          <w:i/>
          <w:iCs/>
          <w:sz w:val="20"/>
          <w:szCs w:val="20"/>
        </w:rPr>
        <w:t>Note:</w:t>
      </w:r>
      <w:r w:rsidRPr="007C6C48">
        <w:rPr>
          <w:rFonts w:ascii="Roboto" w:hAnsi="Roboto"/>
          <w:sz w:val="20"/>
          <w:szCs w:val="20"/>
        </w:rPr>
        <w:t xml:space="preserve"> *If sulfide composition is required, it is assumed to be pure FeS unless specificed by the user.</w:t>
      </w:r>
    </w:p>
    <w:p w14:paraId="2E877975" w14:textId="77777777" w:rsidR="0016716F" w:rsidRPr="007C6C48" w:rsidRDefault="0016716F" w:rsidP="0016716F">
      <w:pPr>
        <w:rPr>
          <w:rFonts w:ascii="Roboto" w:hAnsi="Roboto"/>
          <w:highlight w:val="yellow"/>
        </w:rPr>
      </w:pPr>
    </w:p>
    <w:p w14:paraId="72081A84" w14:textId="59B2AAF4" w:rsidR="00E65C2F" w:rsidRPr="007C6C48" w:rsidRDefault="00E65C2F" w:rsidP="008C68F9">
      <w:pPr>
        <w:pStyle w:val="Caption"/>
        <w:keepNext/>
        <w:spacing w:after="0"/>
        <w:rPr>
          <w:rFonts w:ascii="Roboto" w:hAnsi="Roboto"/>
          <w:color w:val="000000" w:themeColor="text1"/>
        </w:rPr>
      </w:pPr>
      <w:r w:rsidRPr="007C6C48">
        <w:rPr>
          <w:rFonts w:ascii="Roboto" w:hAnsi="Roboto"/>
          <w:color w:val="000000" w:themeColor="text1"/>
          <w:sz w:val="24"/>
          <w:szCs w:val="24"/>
        </w:rPr>
        <w:t xml:space="preserve">Table </w:t>
      </w:r>
      <w:r w:rsidR="006A647B" w:rsidRPr="007C6C48">
        <w:rPr>
          <w:rFonts w:ascii="Roboto" w:hAnsi="Roboto"/>
          <w:color w:val="000000" w:themeColor="text1"/>
          <w:sz w:val="24"/>
          <w:szCs w:val="24"/>
        </w:rPr>
        <w:t>S</w:t>
      </w:r>
      <w:r w:rsidRPr="007C6C48">
        <w:rPr>
          <w:rFonts w:ascii="Roboto" w:hAnsi="Roboto"/>
          <w:color w:val="000000" w:themeColor="text1"/>
          <w:sz w:val="24"/>
          <w:szCs w:val="24"/>
        </w:rPr>
        <w:fldChar w:fldCharType="begin"/>
      </w:r>
      <w:r w:rsidRPr="007C6C48">
        <w:rPr>
          <w:rFonts w:ascii="Roboto" w:hAnsi="Roboto"/>
          <w:color w:val="000000" w:themeColor="text1"/>
          <w:sz w:val="24"/>
          <w:szCs w:val="24"/>
        </w:rPr>
        <w:instrText xml:space="preserve"> SEQ Table \* ARABIC </w:instrText>
      </w:r>
      <w:r w:rsidRPr="007C6C48">
        <w:rPr>
          <w:rFonts w:ascii="Roboto" w:hAnsi="Roboto"/>
          <w:color w:val="000000" w:themeColor="text1"/>
          <w:sz w:val="24"/>
          <w:szCs w:val="24"/>
        </w:rPr>
        <w:fldChar w:fldCharType="separate"/>
      </w:r>
      <w:r w:rsidR="006A647B" w:rsidRPr="007C6C48">
        <w:rPr>
          <w:rFonts w:ascii="Roboto" w:hAnsi="Roboto"/>
          <w:noProof/>
          <w:color w:val="000000" w:themeColor="text1"/>
          <w:sz w:val="24"/>
          <w:szCs w:val="24"/>
        </w:rPr>
        <w:t>11</w:t>
      </w:r>
      <w:r w:rsidRPr="007C6C48">
        <w:rPr>
          <w:rFonts w:ascii="Roboto" w:hAnsi="Roboto"/>
          <w:color w:val="000000" w:themeColor="text1"/>
          <w:sz w:val="24"/>
          <w:szCs w:val="24"/>
        </w:rPr>
        <w:fldChar w:fldCharType="end"/>
      </w:r>
      <w:r w:rsidR="006A647B" w:rsidRPr="007C6C48">
        <w:rPr>
          <w:rFonts w:ascii="Roboto" w:hAnsi="Roboto"/>
          <w:color w:val="000000" w:themeColor="text1"/>
          <w:sz w:val="24"/>
          <w:szCs w:val="24"/>
        </w:rPr>
        <w:t>.</w:t>
      </w:r>
      <w:r w:rsidRPr="007C6C48">
        <w:rPr>
          <w:rFonts w:ascii="Roboto" w:hAnsi="Roboto"/>
          <w:color w:val="000000" w:themeColor="text1"/>
          <w:sz w:val="24"/>
          <w:szCs w:val="24"/>
        </w:rPr>
        <w:t xml:space="preserve"> Oxygen fugacity buffers.</w:t>
      </w:r>
    </w:p>
    <w:tbl>
      <w:tblPr>
        <w:tblStyle w:val="TableGrid"/>
        <w:tblW w:w="0" w:type="auto"/>
        <w:tblLook w:val="04A0" w:firstRow="1" w:lastRow="0" w:firstColumn="1" w:lastColumn="0" w:noHBand="0" w:noVBand="1"/>
      </w:tblPr>
      <w:tblGrid>
        <w:gridCol w:w="873"/>
        <w:gridCol w:w="6495"/>
        <w:gridCol w:w="1648"/>
      </w:tblGrid>
      <w:tr w:rsidR="00E65C2F" w:rsidRPr="007C6C48" w14:paraId="79A009B5" w14:textId="77777777" w:rsidTr="008C68F9">
        <w:tc>
          <w:tcPr>
            <w:tcW w:w="846" w:type="dxa"/>
          </w:tcPr>
          <w:p w14:paraId="5F9F0F4C" w14:textId="314FE88B" w:rsidR="00E65C2F" w:rsidRPr="007C6C48" w:rsidRDefault="00E65C2F" w:rsidP="0016716F">
            <w:pPr>
              <w:ind w:firstLine="0"/>
              <w:rPr>
                <w:rFonts w:ascii="Roboto" w:hAnsi="Roboto"/>
              </w:rPr>
            </w:pPr>
            <w:r w:rsidRPr="007C6C48">
              <w:rPr>
                <w:rFonts w:ascii="Roboto" w:hAnsi="Roboto"/>
              </w:rPr>
              <w:t>Buffer</w:t>
            </w:r>
          </w:p>
        </w:tc>
        <w:tc>
          <w:tcPr>
            <w:tcW w:w="6520" w:type="dxa"/>
          </w:tcPr>
          <w:p w14:paraId="741ACC2B" w14:textId="0F3AAAAF" w:rsidR="00E65C2F" w:rsidRPr="007C6C48" w:rsidRDefault="00E65C2F" w:rsidP="0016716F">
            <w:pPr>
              <w:ind w:firstLine="0"/>
              <w:rPr>
                <w:rFonts w:ascii="Roboto" w:hAnsi="Roboto"/>
              </w:rPr>
            </w:pPr>
            <w:r w:rsidRPr="007C6C48">
              <w:rPr>
                <w:rFonts w:ascii="Roboto" w:hAnsi="Roboto"/>
              </w:rPr>
              <w:t>Benchmark</w:t>
            </w:r>
          </w:p>
        </w:tc>
        <w:tc>
          <w:tcPr>
            <w:tcW w:w="1650" w:type="dxa"/>
          </w:tcPr>
          <w:p w14:paraId="43178D99" w14:textId="03F22FF2" w:rsidR="00E65C2F" w:rsidRPr="007C6C48" w:rsidRDefault="00E65C2F" w:rsidP="0016716F">
            <w:pPr>
              <w:ind w:firstLine="0"/>
              <w:rPr>
                <w:rFonts w:ascii="Roboto" w:hAnsi="Roboto"/>
              </w:rPr>
            </w:pPr>
            <w:r w:rsidRPr="007C6C48">
              <w:rPr>
                <w:rFonts w:ascii="Roboto" w:hAnsi="Roboto"/>
              </w:rPr>
              <w:t>Reference</w:t>
            </w:r>
          </w:p>
        </w:tc>
      </w:tr>
      <w:tr w:rsidR="00E65C2F" w:rsidRPr="007C6C48" w14:paraId="07321A9A" w14:textId="77777777" w:rsidTr="008C68F9">
        <w:tc>
          <w:tcPr>
            <w:tcW w:w="846" w:type="dxa"/>
          </w:tcPr>
          <w:p w14:paraId="2D977436" w14:textId="4142FFF8" w:rsidR="00E65C2F" w:rsidRPr="007C6C48" w:rsidRDefault="00E65C2F" w:rsidP="0016716F">
            <w:pPr>
              <w:ind w:firstLine="0"/>
              <w:rPr>
                <w:rFonts w:ascii="Roboto" w:hAnsi="Roboto"/>
              </w:rPr>
            </w:pPr>
            <w:r w:rsidRPr="007C6C48">
              <w:rPr>
                <w:rFonts w:ascii="Roboto" w:hAnsi="Roboto"/>
              </w:rPr>
              <w:t>FMQ</w:t>
            </w:r>
          </w:p>
        </w:tc>
        <w:tc>
          <w:tcPr>
            <w:tcW w:w="6520" w:type="dxa"/>
          </w:tcPr>
          <w:p w14:paraId="2651FCE2" w14:textId="265F244D" w:rsidR="00E65C2F" w:rsidRPr="007C6C48" w:rsidRDefault="00E65C2F" w:rsidP="0016716F">
            <w:pPr>
              <w:ind w:firstLine="0"/>
              <w:rPr>
                <w:rFonts w:ascii="Roboto" w:hAnsi="Roboto"/>
                <w:highlight w:val="yellow"/>
              </w:rPr>
            </w:pPr>
            <w:r w:rsidRPr="007C6C48">
              <w:rPr>
                <w:rFonts w:ascii="Roboto" w:hAnsi="Roboto"/>
              </w:rPr>
              <w:t xml:space="preserve">Thermobar </w:t>
            </w:r>
            <w:r w:rsidRPr="007C6C48">
              <w:rPr>
                <w:rFonts w:ascii="Roboto" w:hAnsi="Roboto"/>
                <w:color w:val="000000" w:themeColor="text1"/>
              </w:rPr>
              <w:t>(Wieser et al., 2022)</w:t>
            </w:r>
          </w:p>
        </w:tc>
        <w:tc>
          <w:tcPr>
            <w:tcW w:w="1650" w:type="dxa"/>
          </w:tcPr>
          <w:p w14:paraId="325F2599" w14:textId="35A66F6A" w:rsidR="00E65C2F" w:rsidRPr="007C6C48" w:rsidRDefault="00E65C2F" w:rsidP="0016716F">
            <w:pPr>
              <w:ind w:firstLine="0"/>
              <w:rPr>
                <w:rFonts w:ascii="Roboto" w:hAnsi="Roboto"/>
                <w:color w:val="000000" w:themeColor="text1"/>
              </w:rPr>
            </w:pPr>
            <w:r w:rsidRPr="007C6C48">
              <w:rPr>
                <w:rFonts w:ascii="Roboto" w:hAnsi="Roboto"/>
                <w:color w:val="000000" w:themeColor="text1"/>
              </w:rPr>
              <w:t>Frost (1991)</w:t>
            </w:r>
          </w:p>
        </w:tc>
      </w:tr>
      <w:tr w:rsidR="00E65C2F" w:rsidRPr="007C6C48" w14:paraId="334AB910" w14:textId="77777777" w:rsidTr="008C68F9">
        <w:tc>
          <w:tcPr>
            <w:tcW w:w="846" w:type="dxa"/>
          </w:tcPr>
          <w:p w14:paraId="6F9542C8" w14:textId="1B80B722" w:rsidR="00E65C2F" w:rsidRPr="007C6C48" w:rsidRDefault="00E65C2F" w:rsidP="0016716F">
            <w:pPr>
              <w:ind w:firstLine="0"/>
              <w:rPr>
                <w:rFonts w:ascii="Roboto" w:hAnsi="Roboto"/>
              </w:rPr>
            </w:pPr>
            <w:r w:rsidRPr="007C6C48">
              <w:rPr>
                <w:rFonts w:ascii="Roboto" w:hAnsi="Roboto"/>
              </w:rPr>
              <w:t>FMQ</w:t>
            </w:r>
          </w:p>
        </w:tc>
        <w:tc>
          <w:tcPr>
            <w:tcW w:w="6520" w:type="dxa"/>
          </w:tcPr>
          <w:p w14:paraId="4C2FF33C" w14:textId="0D98C6C0" w:rsidR="00E65C2F" w:rsidRPr="007C6C48" w:rsidRDefault="00E65C2F" w:rsidP="0016716F">
            <w:pPr>
              <w:ind w:firstLine="0"/>
              <w:rPr>
                <w:rFonts w:ascii="Roboto" w:hAnsi="Roboto"/>
              </w:rPr>
            </w:pPr>
            <w:r w:rsidRPr="007C6C48">
              <w:rPr>
                <w:rFonts w:ascii="Roboto" w:hAnsi="Roboto"/>
              </w:rPr>
              <w:t>Supplementary spreadsheet from</w:t>
            </w:r>
            <w:r w:rsidRPr="007C6C48">
              <w:rPr>
                <w:rFonts w:ascii="Roboto" w:hAnsi="Roboto"/>
                <w:color w:val="000000" w:themeColor="text1"/>
              </w:rPr>
              <w:t xml:space="preserve"> O’Neill &amp; Mavrogenes (2022)</w:t>
            </w:r>
          </w:p>
        </w:tc>
        <w:tc>
          <w:tcPr>
            <w:tcW w:w="1650" w:type="dxa"/>
          </w:tcPr>
          <w:p w14:paraId="669312F2" w14:textId="7544F8B5" w:rsidR="00E65C2F" w:rsidRPr="007C6C48" w:rsidRDefault="00E65C2F" w:rsidP="0016716F">
            <w:pPr>
              <w:ind w:firstLine="0"/>
              <w:rPr>
                <w:rFonts w:ascii="Roboto" w:hAnsi="Roboto"/>
                <w:color w:val="000000" w:themeColor="text1"/>
              </w:rPr>
            </w:pPr>
            <w:r w:rsidRPr="007C6C48">
              <w:rPr>
                <w:rFonts w:ascii="Roboto" w:hAnsi="Roboto"/>
                <w:color w:val="000000" w:themeColor="text1"/>
              </w:rPr>
              <w:t>O’Neill (1987)</w:t>
            </w:r>
          </w:p>
        </w:tc>
      </w:tr>
      <w:tr w:rsidR="00E65C2F" w:rsidRPr="007C6C48" w14:paraId="5F5D4930" w14:textId="77777777" w:rsidTr="008C68F9">
        <w:tc>
          <w:tcPr>
            <w:tcW w:w="846" w:type="dxa"/>
          </w:tcPr>
          <w:p w14:paraId="7E145D50" w14:textId="0F648CFB" w:rsidR="00E65C2F" w:rsidRPr="007C6C48" w:rsidRDefault="00E65C2F" w:rsidP="0016716F">
            <w:pPr>
              <w:ind w:firstLine="0"/>
              <w:rPr>
                <w:rFonts w:ascii="Roboto" w:hAnsi="Roboto"/>
              </w:rPr>
            </w:pPr>
            <w:r w:rsidRPr="007C6C48">
              <w:rPr>
                <w:rFonts w:ascii="Roboto" w:hAnsi="Roboto"/>
              </w:rPr>
              <w:t>NNO</w:t>
            </w:r>
          </w:p>
        </w:tc>
        <w:tc>
          <w:tcPr>
            <w:tcW w:w="6520" w:type="dxa"/>
          </w:tcPr>
          <w:p w14:paraId="6E4CC164" w14:textId="53BF44C3" w:rsidR="00E65C2F" w:rsidRPr="007C6C48" w:rsidRDefault="00E65C2F" w:rsidP="0016716F">
            <w:pPr>
              <w:ind w:firstLine="0"/>
              <w:rPr>
                <w:rFonts w:ascii="Roboto" w:hAnsi="Roboto"/>
              </w:rPr>
            </w:pPr>
            <w:r w:rsidRPr="007C6C48">
              <w:rPr>
                <w:rFonts w:ascii="Roboto" w:hAnsi="Roboto"/>
              </w:rPr>
              <w:t xml:space="preserve">Thermobar </w:t>
            </w:r>
            <w:r w:rsidRPr="007C6C48">
              <w:rPr>
                <w:rFonts w:ascii="Roboto" w:hAnsi="Roboto"/>
                <w:color w:val="000000" w:themeColor="text1"/>
              </w:rPr>
              <w:t>(Wieser et al., 2022)</w:t>
            </w:r>
          </w:p>
        </w:tc>
        <w:tc>
          <w:tcPr>
            <w:tcW w:w="1650" w:type="dxa"/>
          </w:tcPr>
          <w:p w14:paraId="11A418EF" w14:textId="1C14755E" w:rsidR="00E65C2F" w:rsidRPr="007C6C48" w:rsidRDefault="00E65C2F" w:rsidP="0016716F">
            <w:pPr>
              <w:ind w:firstLine="0"/>
              <w:rPr>
                <w:rFonts w:ascii="Roboto" w:hAnsi="Roboto"/>
                <w:color w:val="000000" w:themeColor="text1"/>
              </w:rPr>
            </w:pPr>
            <w:r w:rsidRPr="007C6C48">
              <w:rPr>
                <w:rFonts w:ascii="Roboto" w:hAnsi="Roboto"/>
                <w:color w:val="000000" w:themeColor="text1"/>
              </w:rPr>
              <w:t>Frost (1991)</w:t>
            </w:r>
          </w:p>
        </w:tc>
      </w:tr>
    </w:tbl>
    <w:p w14:paraId="4FA3BB14" w14:textId="77777777" w:rsidR="00E65C2F" w:rsidRPr="007C6C48" w:rsidRDefault="00E65C2F" w:rsidP="0016716F">
      <w:pPr>
        <w:rPr>
          <w:rFonts w:ascii="Roboto" w:hAnsi="Roboto"/>
          <w:highlight w:val="yellow"/>
        </w:rPr>
      </w:pPr>
    </w:p>
    <w:p w14:paraId="15BA4BF1" w14:textId="0CC008BB" w:rsidR="00BA0C41" w:rsidRPr="007C6C48" w:rsidRDefault="00BA0C41" w:rsidP="0016716F">
      <w:pPr>
        <w:pStyle w:val="Heading1"/>
        <w:rPr>
          <w:rFonts w:ascii="Roboto" w:hAnsi="Roboto"/>
        </w:rPr>
      </w:pPr>
      <w:bookmarkStart w:id="14" w:name="_Ref167565925"/>
      <w:r w:rsidRPr="007C6C48">
        <w:rPr>
          <w:rFonts w:ascii="Roboto" w:hAnsi="Roboto"/>
        </w:rPr>
        <w:t>Melt composition renormalisation</w:t>
      </w:r>
    </w:p>
    <w:p w14:paraId="18907A12" w14:textId="18695966" w:rsidR="00BA0C41" w:rsidRPr="007C6C48" w:rsidRDefault="00BA0C41" w:rsidP="00BA0C41">
      <w:pPr>
        <w:pStyle w:val="Caption"/>
        <w:keepNext/>
        <w:spacing w:after="0"/>
        <w:rPr>
          <w:rFonts w:ascii="Roboto" w:hAnsi="Roboto"/>
          <w:color w:val="000000" w:themeColor="text1"/>
          <w:sz w:val="24"/>
          <w:szCs w:val="24"/>
        </w:rPr>
      </w:pPr>
      <w:bookmarkStart w:id="15" w:name="_Ref189339433"/>
      <w:r w:rsidRPr="007C6C48">
        <w:rPr>
          <w:rFonts w:ascii="Roboto" w:hAnsi="Roboto"/>
          <w:color w:val="000000" w:themeColor="text1"/>
          <w:sz w:val="24"/>
          <w:szCs w:val="24"/>
        </w:rPr>
        <w:t>Table S</w:t>
      </w:r>
      <w:r w:rsidRPr="007C6C48">
        <w:rPr>
          <w:rFonts w:ascii="Roboto" w:hAnsi="Roboto"/>
          <w:color w:val="000000" w:themeColor="text1"/>
          <w:sz w:val="24"/>
          <w:szCs w:val="24"/>
        </w:rPr>
        <w:fldChar w:fldCharType="begin"/>
      </w:r>
      <w:r w:rsidRPr="007C6C48">
        <w:rPr>
          <w:rFonts w:ascii="Roboto" w:hAnsi="Roboto"/>
          <w:color w:val="000000" w:themeColor="text1"/>
          <w:sz w:val="24"/>
          <w:szCs w:val="24"/>
        </w:rPr>
        <w:instrText xml:space="preserve"> SEQ Table \* ARABIC </w:instrText>
      </w:r>
      <w:r w:rsidRPr="007C6C48">
        <w:rPr>
          <w:rFonts w:ascii="Roboto" w:hAnsi="Roboto"/>
          <w:color w:val="000000" w:themeColor="text1"/>
          <w:sz w:val="24"/>
          <w:szCs w:val="24"/>
        </w:rPr>
        <w:fldChar w:fldCharType="separate"/>
      </w:r>
      <w:r w:rsidR="006A647B" w:rsidRPr="007C6C48">
        <w:rPr>
          <w:rFonts w:ascii="Roboto" w:hAnsi="Roboto"/>
          <w:noProof/>
          <w:color w:val="000000" w:themeColor="text1"/>
          <w:sz w:val="24"/>
          <w:szCs w:val="24"/>
        </w:rPr>
        <w:t>12</w:t>
      </w:r>
      <w:r w:rsidRPr="007C6C48">
        <w:rPr>
          <w:rFonts w:ascii="Roboto" w:hAnsi="Roboto"/>
          <w:color w:val="000000" w:themeColor="text1"/>
          <w:sz w:val="24"/>
          <w:szCs w:val="24"/>
        </w:rPr>
        <w:fldChar w:fldCharType="end"/>
      </w:r>
      <w:bookmarkEnd w:id="15"/>
      <w:r w:rsidRPr="007C6C48">
        <w:rPr>
          <w:rFonts w:ascii="Roboto" w:hAnsi="Roboto"/>
          <w:color w:val="000000" w:themeColor="text1"/>
          <w:sz w:val="24"/>
          <w:szCs w:val="24"/>
        </w:rPr>
        <w:t>. Example of how the user inputted melt composition (Ala02-16A from Brounce et al., 2014) is recalculated for use in VolFe calculations.</w:t>
      </w:r>
    </w:p>
    <w:tbl>
      <w:tblPr>
        <w:tblStyle w:val="TableGrid"/>
        <w:tblW w:w="0" w:type="auto"/>
        <w:tblLook w:val="04A0" w:firstRow="1" w:lastRow="0" w:firstColumn="1" w:lastColumn="0" w:noHBand="0" w:noVBand="1"/>
      </w:tblPr>
      <w:tblGrid>
        <w:gridCol w:w="2287"/>
        <w:gridCol w:w="2013"/>
        <w:gridCol w:w="2296"/>
        <w:gridCol w:w="2420"/>
      </w:tblGrid>
      <w:tr w:rsidR="005C2D66" w:rsidRPr="007C6C48" w14:paraId="60A62FA9" w14:textId="77777777" w:rsidTr="008C68F9">
        <w:tc>
          <w:tcPr>
            <w:tcW w:w="2287" w:type="dxa"/>
          </w:tcPr>
          <w:p w14:paraId="79A7C25A" w14:textId="77777777" w:rsidR="005C2D66" w:rsidRPr="007C6C48" w:rsidRDefault="005C2D66" w:rsidP="0033622B">
            <w:pPr>
              <w:ind w:firstLine="0"/>
              <w:rPr>
                <w:rFonts w:ascii="Roboto" w:hAnsi="Roboto"/>
              </w:rPr>
            </w:pPr>
          </w:p>
        </w:tc>
        <w:tc>
          <w:tcPr>
            <w:tcW w:w="2013" w:type="dxa"/>
          </w:tcPr>
          <w:p w14:paraId="5C617E31" w14:textId="6A414AA8" w:rsidR="005C2D66" w:rsidRPr="007C6C48" w:rsidRDefault="005C2D66" w:rsidP="0033622B">
            <w:pPr>
              <w:ind w:firstLine="0"/>
              <w:rPr>
                <w:rFonts w:ascii="Roboto" w:hAnsi="Roboto"/>
              </w:rPr>
            </w:pPr>
            <w:r w:rsidRPr="007C6C48">
              <w:rPr>
                <w:rFonts w:ascii="Roboto" w:hAnsi="Roboto"/>
              </w:rPr>
              <w:t>Unit</w:t>
            </w:r>
          </w:p>
        </w:tc>
        <w:tc>
          <w:tcPr>
            <w:tcW w:w="2296" w:type="dxa"/>
          </w:tcPr>
          <w:p w14:paraId="33D7F147" w14:textId="68B755BF" w:rsidR="005C2D66" w:rsidRPr="007C6C48" w:rsidRDefault="005C2D66" w:rsidP="0033622B">
            <w:pPr>
              <w:ind w:firstLine="0"/>
              <w:rPr>
                <w:rFonts w:ascii="Roboto" w:hAnsi="Roboto"/>
              </w:rPr>
            </w:pPr>
            <w:r w:rsidRPr="007C6C48">
              <w:rPr>
                <w:rFonts w:ascii="Roboto" w:hAnsi="Roboto"/>
              </w:rPr>
              <w:t>Inputted by user</w:t>
            </w:r>
          </w:p>
        </w:tc>
        <w:tc>
          <w:tcPr>
            <w:tcW w:w="2420" w:type="dxa"/>
          </w:tcPr>
          <w:p w14:paraId="7E5010EC" w14:textId="77777777" w:rsidR="005C2D66" w:rsidRPr="007C6C48" w:rsidRDefault="005C2D66" w:rsidP="0033622B">
            <w:pPr>
              <w:ind w:firstLine="0"/>
              <w:rPr>
                <w:rFonts w:ascii="Roboto" w:hAnsi="Roboto"/>
              </w:rPr>
            </w:pPr>
            <w:r w:rsidRPr="007C6C48">
              <w:rPr>
                <w:rFonts w:ascii="Roboto" w:hAnsi="Roboto"/>
              </w:rPr>
              <w:t>Used in calculations</w:t>
            </w:r>
          </w:p>
        </w:tc>
      </w:tr>
      <w:tr w:rsidR="005C2D66" w:rsidRPr="007C6C48" w14:paraId="39875987" w14:textId="77777777" w:rsidTr="008C68F9">
        <w:tc>
          <w:tcPr>
            <w:tcW w:w="2287" w:type="dxa"/>
          </w:tcPr>
          <w:p w14:paraId="627F3F08" w14:textId="699A00A7" w:rsidR="005C2D66" w:rsidRPr="007C6C48" w:rsidRDefault="005C2D66" w:rsidP="0033622B">
            <w:pPr>
              <w:ind w:firstLine="0"/>
              <w:rPr>
                <w:rFonts w:ascii="Roboto" w:hAnsi="Roboto"/>
              </w:rPr>
            </w:pPr>
            <w:r w:rsidRPr="007C6C48">
              <w:rPr>
                <w:rFonts w:ascii="Roboto" w:hAnsi="Roboto"/>
              </w:rPr>
              <w:t>SiO</w:t>
            </w:r>
            <w:r w:rsidRPr="007C6C48">
              <w:rPr>
                <w:rFonts w:ascii="Roboto" w:hAnsi="Roboto"/>
                <w:vertAlign w:val="subscript"/>
              </w:rPr>
              <w:t>2</w:t>
            </w:r>
          </w:p>
        </w:tc>
        <w:tc>
          <w:tcPr>
            <w:tcW w:w="2013" w:type="dxa"/>
          </w:tcPr>
          <w:p w14:paraId="752DC1EE" w14:textId="4B4FE7E1" w:rsidR="005C2D66" w:rsidRPr="007C6C48" w:rsidRDefault="005C2D66" w:rsidP="008C68F9">
            <w:pPr>
              <w:ind w:firstLine="0"/>
              <w:rPr>
                <w:rFonts w:ascii="Roboto" w:hAnsi="Roboto"/>
              </w:rPr>
            </w:pPr>
            <w:r w:rsidRPr="007C6C48">
              <w:rPr>
                <w:rFonts w:ascii="Roboto" w:hAnsi="Roboto"/>
              </w:rPr>
              <w:t>wt%</w:t>
            </w:r>
          </w:p>
        </w:tc>
        <w:tc>
          <w:tcPr>
            <w:tcW w:w="2296" w:type="dxa"/>
          </w:tcPr>
          <w:p w14:paraId="46A2118A" w14:textId="2332F6AB" w:rsidR="005C2D66" w:rsidRPr="007C6C48" w:rsidRDefault="005C2D66" w:rsidP="0033622B">
            <w:pPr>
              <w:ind w:firstLine="0"/>
              <w:jc w:val="right"/>
              <w:rPr>
                <w:rFonts w:ascii="Roboto" w:hAnsi="Roboto"/>
              </w:rPr>
            </w:pPr>
            <w:r w:rsidRPr="007C6C48">
              <w:rPr>
                <w:rFonts w:ascii="Roboto" w:hAnsi="Roboto"/>
              </w:rPr>
              <w:t>43.97</w:t>
            </w:r>
          </w:p>
        </w:tc>
        <w:tc>
          <w:tcPr>
            <w:tcW w:w="2420" w:type="dxa"/>
          </w:tcPr>
          <w:p w14:paraId="5287A9BB" w14:textId="77777777" w:rsidR="005C2D66" w:rsidRPr="007C6C48" w:rsidRDefault="005C2D66" w:rsidP="0033622B">
            <w:pPr>
              <w:ind w:firstLine="0"/>
              <w:jc w:val="right"/>
              <w:rPr>
                <w:rFonts w:ascii="Roboto" w:hAnsi="Roboto"/>
              </w:rPr>
            </w:pPr>
            <w:r w:rsidRPr="007C6C48">
              <w:rPr>
                <w:rFonts w:ascii="Roboto" w:hAnsi="Roboto"/>
              </w:rPr>
              <w:t>44.02</w:t>
            </w:r>
          </w:p>
        </w:tc>
      </w:tr>
      <w:tr w:rsidR="005C2D66" w:rsidRPr="007C6C48" w14:paraId="3C38278F" w14:textId="77777777" w:rsidTr="008C68F9">
        <w:tc>
          <w:tcPr>
            <w:tcW w:w="2287" w:type="dxa"/>
          </w:tcPr>
          <w:p w14:paraId="18826DC8" w14:textId="18E02446" w:rsidR="005C2D66" w:rsidRPr="007C6C48" w:rsidRDefault="005C2D66" w:rsidP="0033622B">
            <w:pPr>
              <w:ind w:firstLine="0"/>
              <w:rPr>
                <w:rFonts w:ascii="Roboto" w:hAnsi="Roboto"/>
              </w:rPr>
            </w:pPr>
            <w:r w:rsidRPr="007C6C48">
              <w:rPr>
                <w:rFonts w:ascii="Roboto" w:hAnsi="Roboto"/>
              </w:rPr>
              <w:t>TiO</w:t>
            </w:r>
            <w:r w:rsidRPr="007C6C48">
              <w:rPr>
                <w:rFonts w:ascii="Roboto" w:hAnsi="Roboto"/>
                <w:vertAlign w:val="subscript"/>
              </w:rPr>
              <w:t>2</w:t>
            </w:r>
          </w:p>
        </w:tc>
        <w:tc>
          <w:tcPr>
            <w:tcW w:w="2013" w:type="dxa"/>
          </w:tcPr>
          <w:p w14:paraId="78F01F2A" w14:textId="3EAED2B3" w:rsidR="005C2D66" w:rsidRPr="007C6C48" w:rsidRDefault="005C2D66" w:rsidP="008C68F9">
            <w:pPr>
              <w:ind w:firstLine="0"/>
              <w:rPr>
                <w:rFonts w:ascii="Roboto" w:hAnsi="Roboto"/>
              </w:rPr>
            </w:pPr>
            <w:r w:rsidRPr="007C6C48">
              <w:rPr>
                <w:rFonts w:ascii="Roboto" w:hAnsi="Roboto"/>
              </w:rPr>
              <w:t>wt%</w:t>
            </w:r>
          </w:p>
        </w:tc>
        <w:tc>
          <w:tcPr>
            <w:tcW w:w="2296" w:type="dxa"/>
          </w:tcPr>
          <w:p w14:paraId="5EBA4E0C" w14:textId="7775B00F" w:rsidR="005C2D66" w:rsidRPr="007C6C48" w:rsidRDefault="005C2D66" w:rsidP="0033622B">
            <w:pPr>
              <w:ind w:firstLine="0"/>
              <w:jc w:val="right"/>
              <w:rPr>
                <w:rFonts w:ascii="Roboto" w:hAnsi="Roboto"/>
              </w:rPr>
            </w:pPr>
            <w:r w:rsidRPr="007C6C48">
              <w:rPr>
                <w:rFonts w:ascii="Roboto" w:hAnsi="Roboto"/>
              </w:rPr>
              <w:t>0.7</w:t>
            </w:r>
          </w:p>
        </w:tc>
        <w:tc>
          <w:tcPr>
            <w:tcW w:w="2420" w:type="dxa"/>
          </w:tcPr>
          <w:p w14:paraId="2C510BA3" w14:textId="77777777" w:rsidR="005C2D66" w:rsidRPr="007C6C48" w:rsidRDefault="005C2D66" w:rsidP="0033622B">
            <w:pPr>
              <w:ind w:firstLine="0"/>
              <w:jc w:val="right"/>
              <w:rPr>
                <w:rFonts w:ascii="Roboto" w:hAnsi="Roboto"/>
              </w:rPr>
            </w:pPr>
            <w:r w:rsidRPr="007C6C48">
              <w:rPr>
                <w:rFonts w:ascii="Roboto" w:hAnsi="Roboto"/>
              </w:rPr>
              <w:t>0.70</w:t>
            </w:r>
          </w:p>
        </w:tc>
      </w:tr>
      <w:tr w:rsidR="005C2D66" w:rsidRPr="007C6C48" w14:paraId="7D7EBAF1" w14:textId="77777777" w:rsidTr="008C68F9">
        <w:tc>
          <w:tcPr>
            <w:tcW w:w="2287" w:type="dxa"/>
          </w:tcPr>
          <w:p w14:paraId="51526D65" w14:textId="6755CBB7" w:rsidR="005C2D66" w:rsidRPr="007C6C48" w:rsidRDefault="005C2D66" w:rsidP="0033622B">
            <w:pPr>
              <w:ind w:firstLine="0"/>
              <w:rPr>
                <w:rFonts w:ascii="Roboto" w:hAnsi="Roboto"/>
              </w:rPr>
            </w:pPr>
            <w:r w:rsidRPr="007C6C48">
              <w:rPr>
                <w:rFonts w:ascii="Roboto" w:hAnsi="Roboto"/>
              </w:rPr>
              <w:t>Al</w:t>
            </w:r>
            <w:r w:rsidRPr="007C6C48">
              <w:rPr>
                <w:rFonts w:ascii="Roboto" w:hAnsi="Roboto"/>
                <w:vertAlign w:val="subscript"/>
              </w:rPr>
              <w:t>2</w:t>
            </w:r>
            <w:r w:rsidRPr="007C6C48">
              <w:rPr>
                <w:rFonts w:ascii="Roboto" w:hAnsi="Roboto"/>
              </w:rPr>
              <w:t>O</w:t>
            </w:r>
            <w:r w:rsidRPr="007C6C48">
              <w:rPr>
                <w:rFonts w:ascii="Roboto" w:hAnsi="Roboto"/>
                <w:vertAlign w:val="subscript"/>
              </w:rPr>
              <w:t>3</w:t>
            </w:r>
          </w:p>
        </w:tc>
        <w:tc>
          <w:tcPr>
            <w:tcW w:w="2013" w:type="dxa"/>
          </w:tcPr>
          <w:p w14:paraId="29B121FF" w14:textId="4F0EB2B4" w:rsidR="005C2D66" w:rsidRPr="007C6C48" w:rsidRDefault="005C2D66" w:rsidP="008C68F9">
            <w:pPr>
              <w:ind w:firstLine="0"/>
              <w:rPr>
                <w:rFonts w:ascii="Roboto" w:hAnsi="Roboto"/>
              </w:rPr>
            </w:pPr>
            <w:r w:rsidRPr="007C6C48">
              <w:rPr>
                <w:rFonts w:ascii="Roboto" w:hAnsi="Roboto"/>
              </w:rPr>
              <w:t>wt%</w:t>
            </w:r>
          </w:p>
        </w:tc>
        <w:tc>
          <w:tcPr>
            <w:tcW w:w="2296" w:type="dxa"/>
          </w:tcPr>
          <w:p w14:paraId="623B8A5D" w14:textId="2EE887DE" w:rsidR="005C2D66" w:rsidRPr="007C6C48" w:rsidRDefault="005C2D66" w:rsidP="0033622B">
            <w:pPr>
              <w:ind w:firstLine="0"/>
              <w:jc w:val="right"/>
              <w:rPr>
                <w:rFonts w:ascii="Roboto" w:hAnsi="Roboto"/>
              </w:rPr>
            </w:pPr>
            <w:r w:rsidRPr="007C6C48">
              <w:rPr>
                <w:rFonts w:ascii="Roboto" w:hAnsi="Roboto"/>
              </w:rPr>
              <w:t>19.09</w:t>
            </w:r>
          </w:p>
        </w:tc>
        <w:tc>
          <w:tcPr>
            <w:tcW w:w="2420" w:type="dxa"/>
          </w:tcPr>
          <w:p w14:paraId="2138075A" w14:textId="77777777" w:rsidR="005C2D66" w:rsidRPr="007C6C48" w:rsidRDefault="005C2D66" w:rsidP="0033622B">
            <w:pPr>
              <w:ind w:firstLine="0"/>
              <w:jc w:val="right"/>
              <w:rPr>
                <w:rFonts w:ascii="Roboto" w:hAnsi="Roboto"/>
              </w:rPr>
            </w:pPr>
            <w:r w:rsidRPr="007C6C48">
              <w:rPr>
                <w:rFonts w:ascii="Roboto" w:hAnsi="Roboto"/>
              </w:rPr>
              <w:t>19.11</w:t>
            </w:r>
          </w:p>
        </w:tc>
      </w:tr>
      <w:tr w:rsidR="005C2D66" w:rsidRPr="007C6C48" w14:paraId="07FDCC69" w14:textId="77777777" w:rsidTr="008C68F9">
        <w:tc>
          <w:tcPr>
            <w:tcW w:w="2287" w:type="dxa"/>
          </w:tcPr>
          <w:p w14:paraId="01D6B90C" w14:textId="1B45ED16" w:rsidR="005C2D66" w:rsidRPr="007C6C48" w:rsidRDefault="005C2D66" w:rsidP="0033622B">
            <w:pPr>
              <w:ind w:firstLine="0"/>
              <w:rPr>
                <w:rFonts w:ascii="Roboto" w:hAnsi="Roboto"/>
              </w:rPr>
            </w:pPr>
            <w:r w:rsidRPr="007C6C48">
              <w:rPr>
                <w:rFonts w:ascii="Roboto" w:hAnsi="Roboto"/>
              </w:rPr>
              <w:t>FeO</w:t>
            </w:r>
            <w:r w:rsidRPr="007C6C48">
              <w:rPr>
                <w:rFonts w:ascii="Roboto" w:hAnsi="Roboto"/>
                <w:vertAlign w:val="subscript"/>
              </w:rPr>
              <w:t>T</w:t>
            </w:r>
          </w:p>
        </w:tc>
        <w:tc>
          <w:tcPr>
            <w:tcW w:w="2013" w:type="dxa"/>
          </w:tcPr>
          <w:p w14:paraId="2F510BF4" w14:textId="605E4BBD" w:rsidR="005C2D66" w:rsidRPr="007C6C48" w:rsidRDefault="005C2D66" w:rsidP="008C68F9">
            <w:pPr>
              <w:ind w:firstLine="0"/>
              <w:rPr>
                <w:rFonts w:ascii="Roboto" w:hAnsi="Roboto"/>
              </w:rPr>
            </w:pPr>
            <w:r w:rsidRPr="007C6C48">
              <w:rPr>
                <w:rFonts w:ascii="Roboto" w:hAnsi="Roboto"/>
              </w:rPr>
              <w:t>wt%</w:t>
            </w:r>
          </w:p>
        </w:tc>
        <w:tc>
          <w:tcPr>
            <w:tcW w:w="2296" w:type="dxa"/>
          </w:tcPr>
          <w:p w14:paraId="2585C0D3" w14:textId="0B71FF05" w:rsidR="005C2D66" w:rsidRPr="007C6C48" w:rsidRDefault="005C2D66" w:rsidP="0033622B">
            <w:pPr>
              <w:ind w:firstLine="0"/>
              <w:jc w:val="right"/>
              <w:rPr>
                <w:rFonts w:ascii="Roboto" w:hAnsi="Roboto"/>
              </w:rPr>
            </w:pPr>
            <w:r w:rsidRPr="007C6C48">
              <w:rPr>
                <w:rFonts w:ascii="Roboto" w:hAnsi="Roboto"/>
              </w:rPr>
              <w:t>9.36</w:t>
            </w:r>
          </w:p>
        </w:tc>
        <w:tc>
          <w:tcPr>
            <w:tcW w:w="2420" w:type="dxa"/>
          </w:tcPr>
          <w:p w14:paraId="174332BA" w14:textId="77777777" w:rsidR="005C2D66" w:rsidRPr="007C6C48" w:rsidRDefault="005C2D66" w:rsidP="0033622B">
            <w:pPr>
              <w:ind w:firstLine="0"/>
              <w:jc w:val="right"/>
              <w:rPr>
                <w:rFonts w:ascii="Roboto" w:hAnsi="Roboto"/>
              </w:rPr>
            </w:pPr>
            <w:r w:rsidRPr="007C6C48">
              <w:rPr>
                <w:rFonts w:ascii="Roboto" w:hAnsi="Roboto"/>
              </w:rPr>
              <w:t>9.37</w:t>
            </w:r>
          </w:p>
        </w:tc>
      </w:tr>
      <w:tr w:rsidR="005C2D66" w:rsidRPr="007C6C48" w14:paraId="53D7F023" w14:textId="77777777" w:rsidTr="008C68F9">
        <w:tc>
          <w:tcPr>
            <w:tcW w:w="2287" w:type="dxa"/>
          </w:tcPr>
          <w:p w14:paraId="2E978C85" w14:textId="3B043943" w:rsidR="005C2D66" w:rsidRPr="007C6C48" w:rsidRDefault="005C2D66" w:rsidP="0033622B">
            <w:pPr>
              <w:ind w:firstLine="0"/>
              <w:rPr>
                <w:rFonts w:ascii="Roboto" w:hAnsi="Roboto"/>
              </w:rPr>
            </w:pPr>
            <w:r w:rsidRPr="007C6C48">
              <w:rPr>
                <w:rFonts w:ascii="Roboto" w:hAnsi="Roboto"/>
              </w:rPr>
              <w:t>MnO</w:t>
            </w:r>
          </w:p>
        </w:tc>
        <w:tc>
          <w:tcPr>
            <w:tcW w:w="2013" w:type="dxa"/>
          </w:tcPr>
          <w:p w14:paraId="00F457DA" w14:textId="1B9B901F" w:rsidR="005C2D66" w:rsidRPr="007C6C48" w:rsidRDefault="005C2D66" w:rsidP="008C68F9">
            <w:pPr>
              <w:ind w:firstLine="0"/>
              <w:rPr>
                <w:rFonts w:ascii="Roboto" w:hAnsi="Roboto"/>
              </w:rPr>
            </w:pPr>
            <w:r w:rsidRPr="007C6C48">
              <w:rPr>
                <w:rFonts w:ascii="Roboto" w:hAnsi="Roboto"/>
              </w:rPr>
              <w:t>wt%</w:t>
            </w:r>
          </w:p>
        </w:tc>
        <w:tc>
          <w:tcPr>
            <w:tcW w:w="2296" w:type="dxa"/>
          </w:tcPr>
          <w:p w14:paraId="06F6A2E3" w14:textId="53445EC4" w:rsidR="005C2D66" w:rsidRPr="007C6C48" w:rsidRDefault="005C2D66" w:rsidP="0033622B">
            <w:pPr>
              <w:ind w:firstLine="0"/>
              <w:jc w:val="right"/>
              <w:rPr>
                <w:rFonts w:ascii="Roboto" w:hAnsi="Roboto"/>
              </w:rPr>
            </w:pPr>
            <w:r w:rsidRPr="007C6C48">
              <w:rPr>
                <w:rFonts w:ascii="Roboto" w:hAnsi="Roboto"/>
              </w:rPr>
              <w:t>0.22</w:t>
            </w:r>
          </w:p>
        </w:tc>
        <w:tc>
          <w:tcPr>
            <w:tcW w:w="2420" w:type="dxa"/>
          </w:tcPr>
          <w:p w14:paraId="3ED38667" w14:textId="77777777" w:rsidR="005C2D66" w:rsidRPr="007C6C48" w:rsidRDefault="005C2D66" w:rsidP="0033622B">
            <w:pPr>
              <w:ind w:firstLine="0"/>
              <w:jc w:val="right"/>
              <w:rPr>
                <w:rFonts w:ascii="Roboto" w:hAnsi="Roboto"/>
              </w:rPr>
            </w:pPr>
            <w:r w:rsidRPr="007C6C48">
              <w:rPr>
                <w:rFonts w:ascii="Roboto" w:hAnsi="Roboto"/>
              </w:rPr>
              <w:t>0.22</w:t>
            </w:r>
          </w:p>
        </w:tc>
      </w:tr>
      <w:tr w:rsidR="005C2D66" w:rsidRPr="007C6C48" w14:paraId="3BB0CD9A" w14:textId="77777777" w:rsidTr="008C68F9">
        <w:tc>
          <w:tcPr>
            <w:tcW w:w="2287" w:type="dxa"/>
          </w:tcPr>
          <w:p w14:paraId="1E245CF0" w14:textId="1E3CC0C1" w:rsidR="005C2D66" w:rsidRPr="007C6C48" w:rsidRDefault="005C2D66" w:rsidP="0033622B">
            <w:pPr>
              <w:ind w:firstLine="0"/>
              <w:rPr>
                <w:rFonts w:ascii="Roboto" w:hAnsi="Roboto"/>
              </w:rPr>
            </w:pPr>
            <w:r w:rsidRPr="007C6C48">
              <w:rPr>
                <w:rFonts w:ascii="Roboto" w:hAnsi="Roboto"/>
              </w:rPr>
              <w:t>MgO</w:t>
            </w:r>
          </w:p>
        </w:tc>
        <w:tc>
          <w:tcPr>
            <w:tcW w:w="2013" w:type="dxa"/>
          </w:tcPr>
          <w:p w14:paraId="45AB9602" w14:textId="22A6BB97" w:rsidR="005C2D66" w:rsidRPr="007C6C48" w:rsidRDefault="005C2D66" w:rsidP="008C68F9">
            <w:pPr>
              <w:ind w:firstLine="0"/>
              <w:rPr>
                <w:rFonts w:ascii="Roboto" w:hAnsi="Roboto"/>
              </w:rPr>
            </w:pPr>
            <w:r w:rsidRPr="007C6C48">
              <w:rPr>
                <w:rFonts w:ascii="Roboto" w:hAnsi="Roboto"/>
              </w:rPr>
              <w:t>wt%</w:t>
            </w:r>
          </w:p>
        </w:tc>
        <w:tc>
          <w:tcPr>
            <w:tcW w:w="2296" w:type="dxa"/>
          </w:tcPr>
          <w:p w14:paraId="740E1E14" w14:textId="38DB0715" w:rsidR="005C2D66" w:rsidRPr="007C6C48" w:rsidRDefault="005C2D66" w:rsidP="0033622B">
            <w:pPr>
              <w:ind w:firstLine="0"/>
              <w:jc w:val="right"/>
              <w:rPr>
                <w:rFonts w:ascii="Roboto" w:hAnsi="Roboto"/>
              </w:rPr>
            </w:pPr>
            <w:r w:rsidRPr="007C6C48">
              <w:rPr>
                <w:rFonts w:ascii="Roboto" w:hAnsi="Roboto"/>
              </w:rPr>
              <w:t>6.76</w:t>
            </w:r>
          </w:p>
        </w:tc>
        <w:tc>
          <w:tcPr>
            <w:tcW w:w="2420" w:type="dxa"/>
          </w:tcPr>
          <w:p w14:paraId="5CA4DCA0" w14:textId="77777777" w:rsidR="005C2D66" w:rsidRPr="007C6C48" w:rsidRDefault="005C2D66" w:rsidP="0033622B">
            <w:pPr>
              <w:ind w:firstLine="0"/>
              <w:jc w:val="right"/>
              <w:rPr>
                <w:rFonts w:ascii="Roboto" w:hAnsi="Roboto"/>
              </w:rPr>
            </w:pPr>
            <w:r w:rsidRPr="007C6C48">
              <w:rPr>
                <w:rFonts w:ascii="Roboto" w:hAnsi="Roboto"/>
              </w:rPr>
              <w:t>6.77</w:t>
            </w:r>
          </w:p>
        </w:tc>
      </w:tr>
      <w:tr w:rsidR="005C2D66" w:rsidRPr="007C6C48" w14:paraId="51968582" w14:textId="77777777" w:rsidTr="008C68F9">
        <w:tc>
          <w:tcPr>
            <w:tcW w:w="2287" w:type="dxa"/>
          </w:tcPr>
          <w:p w14:paraId="08CC60DE" w14:textId="41B0593B" w:rsidR="005C2D66" w:rsidRPr="007C6C48" w:rsidRDefault="005C2D66" w:rsidP="0033622B">
            <w:pPr>
              <w:ind w:firstLine="0"/>
              <w:rPr>
                <w:rFonts w:ascii="Roboto" w:hAnsi="Roboto"/>
              </w:rPr>
            </w:pPr>
            <w:r w:rsidRPr="007C6C48">
              <w:rPr>
                <w:rFonts w:ascii="Roboto" w:hAnsi="Roboto"/>
              </w:rPr>
              <w:t>CaO</w:t>
            </w:r>
          </w:p>
        </w:tc>
        <w:tc>
          <w:tcPr>
            <w:tcW w:w="2013" w:type="dxa"/>
          </w:tcPr>
          <w:p w14:paraId="2E5A5C78" w14:textId="4170BC71" w:rsidR="005C2D66" w:rsidRPr="007C6C48" w:rsidRDefault="005C2D66" w:rsidP="008C68F9">
            <w:pPr>
              <w:ind w:firstLine="0"/>
              <w:rPr>
                <w:rFonts w:ascii="Roboto" w:hAnsi="Roboto"/>
              </w:rPr>
            </w:pPr>
            <w:r w:rsidRPr="007C6C48">
              <w:rPr>
                <w:rFonts w:ascii="Roboto" w:hAnsi="Roboto"/>
              </w:rPr>
              <w:t>wt%</w:t>
            </w:r>
          </w:p>
        </w:tc>
        <w:tc>
          <w:tcPr>
            <w:tcW w:w="2296" w:type="dxa"/>
          </w:tcPr>
          <w:p w14:paraId="23ACE8E9" w14:textId="62A6A6D0" w:rsidR="005C2D66" w:rsidRPr="007C6C48" w:rsidRDefault="005C2D66" w:rsidP="0033622B">
            <w:pPr>
              <w:ind w:firstLine="0"/>
              <w:jc w:val="right"/>
              <w:rPr>
                <w:rFonts w:ascii="Roboto" w:hAnsi="Roboto"/>
              </w:rPr>
            </w:pPr>
            <w:r w:rsidRPr="007C6C48">
              <w:rPr>
                <w:rFonts w:ascii="Roboto" w:hAnsi="Roboto"/>
              </w:rPr>
              <w:t>13.28</w:t>
            </w:r>
          </w:p>
        </w:tc>
        <w:tc>
          <w:tcPr>
            <w:tcW w:w="2420" w:type="dxa"/>
          </w:tcPr>
          <w:p w14:paraId="3B6FF854" w14:textId="77777777" w:rsidR="005C2D66" w:rsidRPr="007C6C48" w:rsidRDefault="005C2D66" w:rsidP="0033622B">
            <w:pPr>
              <w:ind w:firstLine="0"/>
              <w:jc w:val="right"/>
              <w:rPr>
                <w:rFonts w:ascii="Roboto" w:hAnsi="Roboto"/>
              </w:rPr>
            </w:pPr>
            <w:r w:rsidRPr="007C6C48">
              <w:rPr>
                <w:rFonts w:ascii="Roboto" w:hAnsi="Roboto"/>
              </w:rPr>
              <w:t>13.29</w:t>
            </w:r>
          </w:p>
        </w:tc>
      </w:tr>
      <w:tr w:rsidR="005C2D66" w:rsidRPr="007C6C48" w14:paraId="121645F9" w14:textId="77777777" w:rsidTr="008C68F9">
        <w:tc>
          <w:tcPr>
            <w:tcW w:w="2287" w:type="dxa"/>
          </w:tcPr>
          <w:p w14:paraId="168CA1A6" w14:textId="514883D9" w:rsidR="005C2D66" w:rsidRPr="007C6C48" w:rsidRDefault="005C2D66" w:rsidP="0033622B">
            <w:pPr>
              <w:ind w:firstLine="0"/>
              <w:rPr>
                <w:rFonts w:ascii="Roboto" w:hAnsi="Roboto"/>
              </w:rPr>
            </w:pPr>
            <w:r w:rsidRPr="007C6C48">
              <w:rPr>
                <w:rFonts w:ascii="Roboto" w:hAnsi="Roboto"/>
              </w:rPr>
              <w:t>Na</w:t>
            </w:r>
            <w:r w:rsidRPr="007C6C48">
              <w:rPr>
                <w:rFonts w:ascii="Roboto" w:hAnsi="Roboto"/>
                <w:vertAlign w:val="subscript"/>
              </w:rPr>
              <w:t>2</w:t>
            </w:r>
            <w:r w:rsidRPr="007C6C48">
              <w:rPr>
                <w:rFonts w:ascii="Roboto" w:hAnsi="Roboto"/>
              </w:rPr>
              <w:t>O</w:t>
            </w:r>
          </w:p>
        </w:tc>
        <w:tc>
          <w:tcPr>
            <w:tcW w:w="2013" w:type="dxa"/>
          </w:tcPr>
          <w:p w14:paraId="46742084" w14:textId="50BE8A71" w:rsidR="005C2D66" w:rsidRPr="007C6C48" w:rsidRDefault="005C2D66" w:rsidP="008C68F9">
            <w:pPr>
              <w:ind w:firstLine="0"/>
              <w:rPr>
                <w:rFonts w:ascii="Roboto" w:hAnsi="Roboto"/>
              </w:rPr>
            </w:pPr>
            <w:r w:rsidRPr="007C6C48">
              <w:rPr>
                <w:rFonts w:ascii="Roboto" w:hAnsi="Roboto"/>
              </w:rPr>
              <w:t>wt%</w:t>
            </w:r>
          </w:p>
        </w:tc>
        <w:tc>
          <w:tcPr>
            <w:tcW w:w="2296" w:type="dxa"/>
          </w:tcPr>
          <w:p w14:paraId="2C22137B" w14:textId="5B9A3871" w:rsidR="005C2D66" w:rsidRPr="007C6C48" w:rsidRDefault="005C2D66" w:rsidP="0033622B">
            <w:pPr>
              <w:ind w:firstLine="0"/>
              <w:jc w:val="right"/>
              <w:rPr>
                <w:rFonts w:ascii="Roboto" w:hAnsi="Roboto"/>
              </w:rPr>
            </w:pPr>
            <w:r w:rsidRPr="007C6C48">
              <w:rPr>
                <w:rFonts w:ascii="Roboto" w:hAnsi="Roboto"/>
              </w:rPr>
              <w:t>1.46</w:t>
            </w:r>
          </w:p>
        </w:tc>
        <w:tc>
          <w:tcPr>
            <w:tcW w:w="2420" w:type="dxa"/>
          </w:tcPr>
          <w:p w14:paraId="325215AC" w14:textId="77777777" w:rsidR="005C2D66" w:rsidRPr="007C6C48" w:rsidRDefault="005C2D66" w:rsidP="0033622B">
            <w:pPr>
              <w:ind w:firstLine="0"/>
              <w:jc w:val="right"/>
              <w:rPr>
                <w:rFonts w:ascii="Roboto" w:hAnsi="Roboto"/>
              </w:rPr>
            </w:pPr>
            <w:r w:rsidRPr="007C6C48">
              <w:rPr>
                <w:rFonts w:ascii="Roboto" w:hAnsi="Roboto"/>
              </w:rPr>
              <w:t>1.46</w:t>
            </w:r>
          </w:p>
        </w:tc>
      </w:tr>
      <w:tr w:rsidR="005C2D66" w:rsidRPr="007C6C48" w14:paraId="0F9F1136" w14:textId="77777777" w:rsidTr="008C68F9">
        <w:tc>
          <w:tcPr>
            <w:tcW w:w="2287" w:type="dxa"/>
          </w:tcPr>
          <w:p w14:paraId="7B8716CD" w14:textId="6B59C22F" w:rsidR="005C2D66" w:rsidRPr="007C6C48" w:rsidRDefault="005C2D66" w:rsidP="0033622B">
            <w:pPr>
              <w:ind w:firstLine="0"/>
              <w:rPr>
                <w:rFonts w:ascii="Roboto" w:hAnsi="Roboto"/>
              </w:rPr>
            </w:pPr>
            <w:r w:rsidRPr="007C6C48">
              <w:rPr>
                <w:rFonts w:ascii="Roboto" w:hAnsi="Roboto"/>
              </w:rPr>
              <w:t>K</w:t>
            </w:r>
            <w:r w:rsidRPr="007C6C48">
              <w:rPr>
                <w:rFonts w:ascii="Roboto" w:hAnsi="Roboto"/>
                <w:vertAlign w:val="subscript"/>
              </w:rPr>
              <w:t>2</w:t>
            </w:r>
            <w:r w:rsidRPr="007C6C48">
              <w:rPr>
                <w:rFonts w:ascii="Roboto" w:hAnsi="Roboto"/>
              </w:rPr>
              <w:t>O</w:t>
            </w:r>
          </w:p>
        </w:tc>
        <w:tc>
          <w:tcPr>
            <w:tcW w:w="2013" w:type="dxa"/>
          </w:tcPr>
          <w:p w14:paraId="3A06A270" w14:textId="14F8563D" w:rsidR="005C2D66" w:rsidRPr="007C6C48" w:rsidRDefault="005C2D66" w:rsidP="008C68F9">
            <w:pPr>
              <w:ind w:firstLine="0"/>
              <w:rPr>
                <w:rFonts w:ascii="Roboto" w:hAnsi="Roboto"/>
              </w:rPr>
            </w:pPr>
            <w:r w:rsidRPr="007C6C48">
              <w:rPr>
                <w:rFonts w:ascii="Roboto" w:hAnsi="Roboto"/>
              </w:rPr>
              <w:t>wt%</w:t>
            </w:r>
          </w:p>
        </w:tc>
        <w:tc>
          <w:tcPr>
            <w:tcW w:w="2296" w:type="dxa"/>
          </w:tcPr>
          <w:p w14:paraId="0882C344" w14:textId="70103D25" w:rsidR="005C2D66" w:rsidRPr="007C6C48" w:rsidRDefault="005C2D66" w:rsidP="0033622B">
            <w:pPr>
              <w:ind w:firstLine="0"/>
              <w:jc w:val="right"/>
              <w:rPr>
                <w:rFonts w:ascii="Roboto" w:hAnsi="Roboto"/>
              </w:rPr>
            </w:pPr>
            <w:r w:rsidRPr="007C6C48">
              <w:rPr>
                <w:rFonts w:ascii="Roboto" w:hAnsi="Roboto"/>
              </w:rPr>
              <w:t>0.37</w:t>
            </w:r>
          </w:p>
        </w:tc>
        <w:tc>
          <w:tcPr>
            <w:tcW w:w="2420" w:type="dxa"/>
          </w:tcPr>
          <w:p w14:paraId="1B89C6DF" w14:textId="77777777" w:rsidR="005C2D66" w:rsidRPr="007C6C48" w:rsidRDefault="005C2D66" w:rsidP="0033622B">
            <w:pPr>
              <w:ind w:firstLine="0"/>
              <w:jc w:val="right"/>
              <w:rPr>
                <w:rFonts w:ascii="Roboto" w:hAnsi="Roboto"/>
              </w:rPr>
            </w:pPr>
            <w:r w:rsidRPr="007C6C48">
              <w:rPr>
                <w:rFonts w:ascii="Roboto" w:hAnsi="Roboto"/>
              </w:rPr>
              <w:t>0.37</w:t>
            </w:r>
          </w:p>
        </w:tc>
      </w:tr>
      <w:tr w:rsidR="005C2D66" w:rsidRPr="007C6C48" w14:paraId="06E8CC13" w14:textId="77777777" w:rsidTr="008C68F9">
        <w:tc>
          <w:tcPr>
            <w:tcW w:w="2287" w:type="dxa"/>
          </w:tcPr>
          <w:p w14:paraId="646400EF" w14:textId="22A7E071" w:rsidR="005C2D66" w:rsidRPr="007C6C48" w:rsidRDefault="005C2D66" w:rsidP="0033622B">
            <w:pPr>
              <w:ind w:firstLine="0"/>
              <w:rPr>
                <w:rFonts w:ascii="Roboto" w:hAnsi="Roboto"/>
              </w:rPr>
            </w:pPr>
            <w:r w:rsidRPr="007C6C48">
              <w:rPr>
                <w:rFonts w:ascii="Roboto" w:hAnsi="Roboto"/>
              </w:rPr>
              <w:t>P</w:t>
            </w:r>
            <w:r w:rsidRPr="007C6C48">
              <w:rPr>
                <w:rFonts w:ascii="Roboto" w:hAnsi="Roboto"/>
                <w:vertAlign w:val="subscript"/>
              </w:rPr>
              <w:t>2</w:t>
            </w:r>
            <w:r w:rsidRPr="007C6C48">
              <w:rPr>
                <w:rFonts w:ascii="Roboto" w:hAnsi="Roboto"/>
              </w:rPr>
              <w:t>O</w:t>
            </w:r>
            <w:r w:rsidRPr="007C6C48">
              <w:rPr>
                <w:rFonts w:ascii="Roboto" w:hAnsi="Roboto"/>
                <w:vertAlign w:val="subscript"/>
              </w:rPr>
              <w:t>5</w:t>
            </w:r>
          </w:p>
        </w:tc>
        <w:tc>
          <w:tcPr>
            <w:tcW w:w="2013" w:type="dxa"/>
          </w:tcPr>
          <w:p w14:paraId="2BBAAFFF" w14:textId="40FFA729" w:rsidR="005C2D66" w:rsidRPr="007C6C48" w:rsidRDefault="005C2D66" w:rsidP="008C68F9">
            <w:pPr>
              <w:ind w:firstLine="0"/>
              <w:rPr>
                <w:rFonts w:ascii="Roboto" w:hAnsi="Roboto"/>
              </w:rPr>
            </w:pPr>
            <w:r w:rsidRPr="007C6C48">
              <w:rPr>
                <w:rFonts w:ascii="Roboto" w:hAnsi="Roboto"/>
              </w:rPr>
              <w:t>wt%</w:t>
            </w:r>
          </w:p>
        </w:tc>
        <w:tc>
          <w:tcPr>
            <w:tcW w:w="2296" w:type="dxa"/>
          </w:tcPr>
          <w:p w14:paraId="6B84B321" w14:textId="2B926F0A" w:rsidR="005C2D66" w:rsidRPr="007C6C48" w:rsidRDefault="005C2D66" w:rsidP="0033622B">
            <w:pPr>
              <w:ind w:firstLine="0"/>
              <w:jc w:val="right"/>
              <w:rPr>
                <w:rFonts w:ascii="Roboto" w:hAnsi="Roboto"/>
              </w:rPr>
            </w:pPr>
            <w:r w:rsidRPr="007C6C48">
              <w:rPr>
                <w:rFonts w:ascii="Roboto" w:hAnsi="Roboto"/>
              </w:rPr>
              <w:t>0.11</w:t>
            </w:r>
          </w:p>
        </w:tc>
        <w:tc>
          <w:tcPr>
            <w:tcW w:w="2420" w:type="dxa"/>
          </w:tcPr>
          <w:p w14:paraId="5CD8DED0" w14:textId="77777777" w:rsidR="005C2D66" w:rsidRPr="007C6C48" w:rsidRDefault="005C2D66" w:rsidP="0033622B">
            <w:pPr>
              <w:ind w:firstLine="0"/>
              <w:jc w:val="right"/>
              <w:rPr>
                <w:rFonts w:ascii="Roboto" w:hAnsi="Roboto"/>
              </w:rPr>
            </w:pPr>
            <w:r w:rsidRPr="007C6C48">
              <w:rPr>
                <w:rFonts w:ascii="Roboto" w:hAnsi="Roboto"/>
              </w:rPr>
              <w:t>0.11</w:t>
            </w:r>
          </w:p>
        </w:tc>
      </w:tr>
      <w:tr w:rsidR="005C2D66" w:rsidRPr="007C6C48" w14:paraId="738D7BAB" w14:textId="77777777" w:rsidTr="008C68F9">
        <w:tc>
          <w:tcPr>
            <w:tcW w:w="2287" w:type="dxa"/>
          </w:tcPr>
          <w:p w14:paraId="2BE9A7B5" w14:textId="7E6892C7" w:rsidR="005C2D66" w:rsidRPr="007C6C48" w:rsidRDefault="005C2D66" w:rsidP="0033622B">
            <w:pPr>
              <w:ind w:firstLine="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O</w:t>
            </w:r>
          </w:p>
        </w:tc>
        <w:tc>
          <w:tcPr>
            <w:tcW w:w="2013" w:type="dxa"/>
          </w:tcPr>
          <w:p w14:paraId="46EFBDBD" w14:textId="76998E63" w:rsidR="005C2D66" w:rsidRPr="007C6C48" w:rsidRDefault="005C2D66" w:rsidP="008C68F9">
            <w:pPr>
              <w:ind w:firstLine="0"/>
              <w:rPr>
                <w:rFonts w:ascii="Roboto" w:hAnsi="Roboto"/>
              </w:rPr>
            </w:pPr>
            <w:r w:rsidRPr="007C6C48">
              <w:rPr>
                <w:rFonts w:ascii="Roboto" w:hAnsi="Roboto"/>
              </w:rPr>
              <w:t>wt%</w:t>
            </w:r>
          </w:p>
        </w:tc>
        <w:tc>
          <w:tcPr>
            <w:tcW w:w="2296" w:type="dxa"/>
          </w:tcPr>
          <w:p w14:paraId="3DD38413" w14:textId="33FE898D" w:rsidR="005C2D66" w:rsidRPr="007C6C48" w:rsidRDefault="005C2D66" w:rsidP="0033622B">
            <w:pPr>
              <w:ind w:firstLine="0"/>
              <w:jc w:val="right"/>
              <w:rPr>
                <w:rFonts w:ascii="Roboto" w:hAnsi="Roboto"/>
              </w:rPr>
            </w:pPr>
            <w:r w:rsidRPr="007C6C48">
              <w:rPr>
                <w:rFonts w:ascii="Roboto" w:hAnsi="Roboto"/>
              </w:rPr>
              <w:t>4.32</w:t>
            </w:r>
          </w:p>
        </w:tc>
        <w:tc>
          <w:tcPr>
            <w:tcW w:w="2420" w:type="dxa"/>
          </w:tcPr>
          <w:p w14:paraId="767EA504" w14:textId="77777777" w:rsidR="005C2D66" w:rsidRPr="007C6C48" w:rsidRDefault="005C2D66" w:rsidP="0033622B">
            <w:pPr>
              <w:ind w:firstLine="0"/>
              <w:jc w:val="right"/>
              <w:rPr>
                <w:rFonts w:ascii="Roboto" w:hAnsi="Roboto"/>
              </w:rPr>
            </w:pPr>
            <w:r w:rsidRPr="007C6C48">
              <w:rPr>
                <w:rFonts w:ascii="Roboto" w:hAnsi="Roboto"/>
              </w:rPr>
              <w:t>4.32</w:t>
            </w:r>
          </w:p>
        </w:tc>
      </w:tr>
      <w:tr w:rsidR="005C2D66" w:rsidRPr="007C6C48" w14:paraId="16969227" w14:textId="77777777" w:rsidTr="008C68F9">
        <w:tc>
          <w:tcPr>
            <w:tcW w:w="2287" w:type="dxa"/>
          </w:tcPr>
          <w:p w14:paraId="15CE3AA5" w14:textId="65E22C6C" w:rsidR="005C2D66" w:rsidRPr="007C6C48" w:rsidRDefault="005C2D66" w:rsidP="0033622B">
            <w:pPr>
              <w:ind w:firstLine="0"/>
              <w:rPr>
                <w:rFonts w:ascii="Roboto" w:hAnsi="Roboto"/>
              </w:rPr>
            </w:pPr>
            <w:r w:rsidRPr="007C6C48">
              <w:rPr>
                <w:rFonts w:ascii="Roboto" w:hAnsi="Roboto"/>
              </w:rPr>
              <w:t>CO</w:t>
            </w:r>
            <w:r w:rsidRPr="007C6C48">
              <w:rPr>
                <w:rFonts w:ascii="Roboto" w:hAnsi="Roboto"/>
                <w:vertAlign w:val="subscript"/>
              </w:rPr>
              <w:t>2</w:t>
            </w:r>
          </w:p>
        </w:tc>
        <w:tc>
          <w:tcPr>
            <w:tcW w:w="2013" w:type="dxa"/>
          </w:tcPr>
          <w:p w14:paraId="4A4756D3" w14:textId="73A3324E" w:rsidR="005C2D66" w:rsidRPr="007C6C48" w:rsidRDefault="005C2D66" w:rsidP="008C68F9">
            <w:pPr>
              <w:ind w:firstLine="0"/>
              <w:rPr>
                <w:rFonts w:ascii="Roboto" w:hAnsi="Roboto"/>
              </w:rPr>
            </w:pPr>
            <w:r w:rsidRPr="007C6C48">
              <w:rPr>
                <w:rFonts w:ascii="Roboto" w:hAnsi="Roboto"/>
              </w:rPr>
              <w:t>ppm</w:t>
            </w:r>
          </w:p>
        </w:tc>
        <w:tc>
          <w:tcPr>
            <w:tcW w:w="2296" w:type="dxa"/>
          </w:tcPr>
          <w:p w14:paraId="23AC9898" w14:textId="764EDB7E" w:rsidR="005C2D66" w:rsidRPr="007C6C48" w:rsidRDefault="005C2D66" w:rsidP="0033622B">
            <w:pPr>
              <w:ind w:firstLine="0"/>
              <w:jc w:val="right"/>
              <w:rPr>
                <w:rFonts w:ascii="Roboto" w:hAnsi="Roboto"/>
              </w:rPr>
            </w:pPr>
            <w:r w:rsidRPr="007C6C48">
              <w:rPr>
                <w:rFonts w:ascii="Roboto" w:hAnsi="Roboto"/>
              </w:rPr>
              <w:t>999</w:t>
            </w:r>
          </w:p>
        </w:tc>
        <w:tc>
          <w:tcPr>
            <w:tcW w:w="2420" w:type="dxa"/>
          </w:tcPr>
          <w:p w14:paraId="2F66D217" w14:textId="77777777" w:rsidR="005C2D66" w:rsidRPr="007C6C48" w:rsidRDefault="005C2D66" w:rsidP="0033622B">
            <w:pPr>
              <w:ind w:firstLine="0"/>
              <w:jc w:val="right"/>
              <w:rPr>
                <w:rFonts w:ascii="Roboto" w:hAnsi="Roboto"/>
              </w:rPr>
            </w:pPr>
            <w:r w:rsidRPr="007C6C48">
              <w:rPr>
                <w:rFonts w:ascii="Roboto" w:hAnsi="Roboto"/>
              </w:rPr>
              <w:t>999</w:t>
            </w:r>
          </w:p>
        </w:tc>
      </w:tr>
      <w:tr w:rsidR="005C2D66" w:rsidRPr="007C6C48" w14:paraId="51059D97" w14:textId="77777777" w:rsidTr="008C68F9">
        <w:tc>
          <w:tcPr>
            <w:tcW w:w="2287" w:type="dxa"/>
          </w:tcPr>
          <w:p w14:paraId="297194D2" w14:textId="50368BA1" w:rsidR="005C2D66" w:rsidRPr="007C6C48" w:rsidRDefault="005C2D66" w:rsidP="0033622B">
            <w:pPr>
              <w:ind w:firstLine="0"/>
              <w:rPr>
                <w:rFonts w:ascii="Roboto" w:hAnsi="Roboto"/>
              </w:rPr>
            </w:pPr>
            <w:r w:rsidRPr="007C6C48">
              <w:rPr>
                <w:rFonts w:ascii="Roboto" w:hAnsi="Roboto"/>
              </w:rPr>
              <w:t>S</w:t>
            </w:r>
            <w:r w:rsidRPr="007C6C48">
              <w:rPr>
                <w:rFonts w:ascii="Roboto" w:hAnsi="Roboto"/>
                <w:vertAlign w:val="subscript"/>
              </w:rPr>
              <w:t>T</w:t>
            </w:r>
          </w:p>
        </w:tc>
        <w:tc>
          <w:tcPr>
            <w:tcW w:w="2013" w:type="dxa"/>
          </w:tcPr>
          <w:p w14:paraId="3CE23710" w14:textId="6B943981" w:rsidR="005C2D66" w:rsidRPr="007C6C48" w:rsidRDefault="005C2D66" w:rsidP="008C68F9">
            <w:pPr>
              <w:ind w:firstLine="0"/>
              <w:rPr>
                <w:rFonts w:ascii="Roboto" w:hAnsi="Roboto"/>
              </w:rPr>
            </w:pPr>
            <w:r w:rsidRPr="007C6C48">
              <w:rPr>
                <w:rFonts w:ascii="Roboto" w:hAnsi="Roboto"/>
              </w:rPr>
              <w:t>ppm</w:t>
            </w:r>
          </w:p>
        </w:tc>
        <w:tc>
          <w:tcPr>
            <w:tcW w:w="2296" w:type="dxa"/>
          </w:tcPr>
          <w:p w14:paraId="05670E0A" w14:textId="2DDAC5C7" w:rsidR="005C2D66" w:rsidRPr="007C6C48" w:rsidRDefault="005C2D66" w:rsidP="0033622B">
            <w:pPr>
              <w:ind w:firstLine="0"/>
              <w:jc w:val="right"/>
              <w:rPr>
                <w:rFonts w:ascii="Roboto" w:hAnsi="Roboto"/>
              </w:rPr>
            </w:pPr>
            <w:r w:rsidRPr="007C6C48">
              <w:rPr>
                <w:rFonts w:ascii="Roboto" w:hAnsi="Roboto"/>
              </w:rPr>
              <w:t>1544.07</w:t>
            </w:r>
          </w:p>
        </w:tc>
        <w:tc>
          <w:tcPr>
            <w:tcW w:w="2420" w:type="dxa"/>
          </w:tcPr>
          <w:p w14:paraId="5D924FA0" w14:textId="77777777" w:rsidR="005C2D66" w:rsidRPr="007C6C48" w:rsidRDefault="005C2D66" w:rsidP="0033622B">
            <w:pPr>
              <w:ind w:firstLine="0"/>
              <w:jc w:val="right"/>
              <w:rPr>
                <w:rFonts w:ascii="Roboto" w:hAnsi="Roboto"/>
              </w:rPr>
            </w:pPr>
            <w:r w:rsidRPr="007C6C48">
              <w:rPr>
                <w:rFonts w:ascii="Roboto" w:hAnsi="Roboto"/>
              </w:rPr>
              <w:t>1544.07</w:t>
            </w:r>
          </w:p>
        </w:tc>
      </w:tr>
      <w:tr w:rsidR="005C2D66" w:rsidRPr="007C6C48" w14:paraId="5342F0C9" w14:textId="77777777" w:rsidTr="008C68F9">
        <w:tc>
          <w:tcPr>
            <w:tcW w:w="2287" w:type="dxa"/>
          </w:tcPr>
          <w:p w14:paraId="5F7B9C58" w14:textId="2A634F2B" w:rsidR="005C2D66" w:rsidRPr="007C6C48" w:rsidRDefault="005F59D0" w:rsidP="0033622B">
            <w:pPr>
              <w:ind w:firstLine="0"/>
              <w:rPr>
                <w:rFonts w:ascii="Roboto" w:hAnsi="Roboto"/>
              </w:rPr>
            </w:pPr>
            <w:r w:rsidRPr="007C6C48">
              <w:rPr>
                <w:rFonts w:ascii="Roboto" w:hAnsi="Roboto"/>
              </w:rPr>
              <w:t>“</w:t>
            </w:r>
            <w:r w:rsidR="005C2D66" w:rsidRPr="007C6C48">
              <w:rPr>
                <w:rFonts w:ascii="Roboto" w:hAnsi="Roboto"/>
              </w:rPr>
              <w:t>X</w:t>
            </w:r>
            <w:r w:rsidRPr="007C6C48">
              <w:rPr>
                <w:rFonts w:ascii="Roboto" w:hAnsi="Roboto"/>
              </w:rPr>
              <w:t>”</w:t>
            </w:r>
          </w:p>
        </w:tc>
        <w:tc>
          <w:tcPr>
            <w:tcW w:w="2013" w:type="dxa"/>
          </w:tcPr>
          <w:p w14:paraId="0CAF256E" w14:textId="448F842A" w:rsidR="005C2D66" w:rsidRPr="007C6C48" w:rsidRDefault="005C2D66" w:rsidP="008C68F9">
            <w:pPr>
              <w:ind w:firstLine="0"/>
              <w:rPr>
                <w:rFonts w:ascii="Roboto" w:hAnsi="Roboto"/>
              </w:rPr>
            </w:pPr>
            <w:r w:rsidRPr="007C6C48">
              <w:rPr>
                <w:rFonts w:ascii="Roboto" w:hAnsi="Roboto"/>
              </w:rPr>
              <w:t>ppm</w:t>
            </w:r>
          </w:p>
        </w:tc>
        <w:tc>
          <w:tcPr>
            <w:tcW w:w="2296" w:type="dxa"/>
          </w:tcPr>
          <w:p w14:paraId="2429CACA" w14:textId="4D673D80" w:rsidR="005C2D66" w:rsidRPr="007C6C48" w:rsidRDefault="005C2D66" w:rsidP="0033622B">
            <w:pPr>
              <w:ind w:firstLine="0"/>
              <w:jc w:val="right"/>
              <w:rPr>
                <w:rFonts w:ascii="Roboto" w:hAnsi="Roboto"/>
              </w:rPr>
            </w:pPr>
            <w:r w:rsidRPr="007C6C48">
              <w:rPr>
                <w:rFonts w:ascii="Roboto" w:hAnsi="Roboto"/>
              </w:rPr>
              <w:t>0</w:t>
            </w:r>
          </w:p>
        </w:tc>
        <w:tc>
          <w:tcPr>
            <w:tcW w:w="2420" w:type="dxa"/>
          </w:tcPr>
          <w:p w14:paraId="725573A8" w14:textId="77777777" w:rsidR="005C2D66" w:rsidRPr="007C6C48" w:rsidRDefault="005C2D66" w:rsidP="0033622B">
            <w:pPr>
              <w:ind w:firstLine="0"/>
              <w:jc w:val="right"/>
              <w:rPr>
                <w:rFonts w:ascii="Roboto" w:hAnsi="Roboto"/>
              </w:rPr>
            </w:pPr>
            <w:r w:rsidRPr="007C6C48">
              <w:rPr>
                <w:rFonts w:ascii="Roboto" w:hAnsi="Roboto"/>
              </w:rPr>
              <w:t>0</w:t>
            </w:r>
          </w:p>
        </w:tc>
      </w:tr>
      <w:tr w:rsidR="005C2D66" w:rsidRPr="007C6C48" w14:paraId="222774EA" w14:textId="77777777" w:rsidTr="008C68F9">
        <w:tc>
          <w:tcPr>
            <w:tcW w:w="2287" w:type="dxa"/>
          </w:tcPr>
          <w:p w14:paraId="4A1C397E" w14:textId="7D17D57B" w:rsidR="005C2D66" w:rsidRPr="007C6C48" w:rsidRDefault="005C2D66" w:rsidP="0033622B">
            <w:pPr>
              <w:ind w:firstLine="0"/>
              <w:rPr>
                <w:rFonts w:ascii="Roboto" w:hAnsi="Roboto"/>
              </w:rPr>
            </w:pPr>
            <w:r w:rsidRPr="007C6C48">
              <w:rPr>
                <w:rFonts w:ascii="Roboto" w:hAnsi="Roboto"/>
              </w:rPr>
              <w:lastRenderedPageBreak/>
              <w:t>Non-volatile total</w:t>
            </w:r>
          </w:p>
        </w:tc>
        <w:tc>
          <w:tcPr>
            <w:tcW w:w="2013" w:type="dxa"/>
          </w:tcPr>
          <w:p w14:paraId="27FCC092" w14:textId="4BE245AF" w:rsidR="005C2D66" w:rsidRPr="007C6C48" w:rsidRDefault="005C2D66" w:rsidP="008C68F9">
            <w:pPr>
              <w:ind w:firstLine="0"/>
              <w:rPr>
                <w:rFonts w:ascii="Roboto" w:hAnsi="Roboto"/>
              </w:rPr>
            </w:pPr>
            <w:r w:rsidRPr="007C6C48">
              <w:rPr>
                <w:rFonts w:ascii="Roboto" w:hAnsi="Roboto"/>
              </w:rPr>
              <w:t>wt%</w:t>
            </w:r>
          </w:p>
        </w:tc>
        <w:tc>
          <w:tcPr>
            <w:tcW w:w="2296" w:type="dxa"/>
          </w:tcPr>
          <w:p w14:paraId="37D674E2" w14:textId="363B9CD7" w:rsidR="005C2D66" w:rsidRPr="007C6C48" w:rsidRDefault="005C2D66" w:rsidP="0033622B">
            <w:pPr>
              <w:ind w:firstLine="0"/>
              <w:jc w:val="right"/>
              <w:rPr>
                <w:rFonts w:ascii="Roboto" w:hAnsi="Roboto"/>
              </w:rPr>
            </w:pPr>
            <w:r w:rsidRPr="007C6C48">
              <w:rPr>
                <w:rFonts w:ascii="Roboto" w:hAnsi="Roboto"/>
              </w:rPr>
              <w:t>95.32</w:t>
            </w:r>
          </w:p>
        </w:tc>
        <w:tc>
          <w:tcPr>
            <w:tcW w:w="2420" w:type="dxa"/>
          </w:tcPr>
          <w:p w14:paraId="394EE156" w14:textId="77777777" w:rsidR="005C2D66" w:rsidRPr="007C6C48" w:rsidRDefault="005C2D66" w:rsidP="0033622B">
            <w:pPr>
              <w:ind w:firstLine="0"/>
              <w:jc w:val="right"/>
              <w:rPr>
                <w:rFonts w:ascii="Roboto" w:hAnsi="Roboto"/>
              </w:rPr>
            </w:pPr>
            <w:r w:rsidRPr="007C6C48">
              <w:rPr>
                <w:rFonts w:ascii="Roboto" w:hAnsi="Roboto"/>
              </w:rPr>
              <w:t>95.43</w:t>
            </w:r>
          </w:p>
        </w:tc>
      </w:tr>
      <w:tr w:rsidR="005C2D66" w:rsidRPr="007C6C48" w14:paraId="60736061" w14:textId="77777777" w:rsidTr="008C68F9">
        <w:tc>
          <w:tcPr>
            <w:tcW w:w="2287" w:type="dxa"/>
          </w:tcPr>
          <w:p w14:paraId="5EBCF239" w14:textId="03684AAB" w:rsidR="005C2D66" w:rsidRPr="007C6C48" w:rsidRDefault="005C2D66" w:rsidP="0033622B">
            <w:pPr>
              <w:ind w:firstLine="0"/>
              <w:rPr>
                <w:rFonts w:ascii="Roboto" w:hAnsi="Roboto"/>
              </w:rPr>
            </w:pPr>
            <w:r w:rsidRPr="007C6C48">
              <w:rPr>
                <w:rFonts w:ascii="Roboto" w:hAnsi="Roboto"/>
              </w:rPr>
              <w:t>Volatile total</w:t>
            </w:r>
          </w:p>
        </w:tc>
        <w:tc>
          <w:tcPr>
            <w:tcW w:w="2013" w:type="dxa"/>
          </w:tcPr>
          <w:p w14:paraId="58AFD40E" w14:textId="39D96D50" w:rsidR="005C2D66" w:rsidRPr="007C6C48" w:rsidRDefault="005C2D66" w:rsidP="008C68F9">
            <w:pPr>
              <w:ind w:firstLine="0"/>
              <w:rPr>
                <w:rFonts w:ascii="Roboto" w:hAnsi="Roboto"/>
              </w:rPr>
            </w:pPr>
            <w:r w:rsidRPr="007C6C48">
              <w:rPr>
                <w:rFonts w:ascii="Roboto" w:hAnsi="Roboto"/>
              </w:rPr>
              <w:t>wt%</w:t>
            </w:r>
          </w:p>
        </w:tc>
        <w:tc>
          <w:tcPr>
            <w:tcW w:w="2296" w:type="dxa"/>
          </w:tcPr>
          <w:p w14:paraId="11A55DE9" w14:textId="6BD87420" w:rsidR="005C2D66" w:rsidRPr="007C6C48" w:rsidRDefault="005C2D66" w:rsidP="0033622B">
            <w:pPr>
              <w:ind w:firstLine="0"/>
              <w:jc w:val="right"/>
              <w:rPr>
                <w:rFonts w:ascii="Roboto" w:hAnsi="Roboto"/>
              </w:rPr>
            </w:pPr>
            <w:r w:rsidRPr="007C6C48">
              <w:rPr>
                <w:rFonts w:ascii="Roboto" w:hAnsi="Roboto"/>
              </w:rPr>
              <w:t>4.</w:t>
            </w:r>
            <w:r w:rsidR="005F59D0" w:rsidRPr="007C6C48">
              <w:rPr>
                <w:rFonts w:ascii="Roboto" w:hAnsi="Roboto"/>
              </w:rPr>
              <w:t>5743</w:t>
            </w:r>
          </w:p>
        </w:tc>
        <w:tc>
          <w:tcPr>
            <w:tcW w:w="2420" w:type="dxa"/>
          </w:tcPr>
          <w:p w14:paraId="10106806" w14:textId="77777777" w:rsidR="005C2D66" w:rsidRPr="007C6C48" w:rsidRDefault="005C2D66" w:rsidP="0033622B">
            <w:pPr>
              <w:ind w:firstLine="0"/>
              <w:jc w:val="right"/>
              <w:rPr>
                <w:rFonts w:ascii="Roboto" w:hAnsi="Roboto"/>
              </w:rPr>
            </w:pPr>
            <w:r w:rsidRPr="007C6C48">
              <w:rPr>
                <w:rFonts w:ascii="Roboto" w:hAnsi="Roboto"/>
              </w:rPr>
              <w:t>4.5743</w:t>
            </w:r>
          </w:p>
        </w:tc>
      </w:tr>
      <w:tr w:rsidR="005C2D66" w:rsidRPr="007C6C48" w14:paraId="23235395" w14:textId="77777777" w:rsidTr="008C68F9">
        <w:tc>
          <w:tcPr>
            <w:tcW w:w="2287" w:type="dxa"/>
          </w:tcPr>
          <w:p w14:paraId="45455DE7" w14:textId="598CA616" w:rsidR="005C2D66" w:rsidRPr="007C6C48" w:rsidRDefault="005C2D66" w:rsidP="0033622B">
            <w:pPr>
              <w:ind w:firstLine="0"/>
              <w:rPr>
                <w:rFonts w:ascii="Roboto" w:hAnsi="Roboto"/>
              </w:rPr>
            </w:pPr>
            <w:r w:rsidRPr="007C6C48">
              <w:rPr>
                <w:rFonts w:ascii="Roboto" w:hAnsi="Roboto"/>
              </w:rPr>
              <w:t>Total</w:t>
            </w:r>
          </w:p>
        </w:tc>
        <w:tc>
          <w:tcPr>
            <w:tcW w:w="2013" w:type="dxa"/>
          </w:tcPr>
          <w:p w14:paraId="4555312F" w14:textId="1D16BDB8" w:rsidR="005C2D66" w:rsidRPr="007C6C48" w:rsidRDefault="005C2D66" w:rsidP="008C68F9">
            <w:pPr>
              <w:ind w:firstLine="0"/>
              <w:rPr>
                <w:rFonts w:ascii="Roboto" w:hAnsi="Roboto"/>
              </w:rPr>
            </w:pPr>
            <w:r w:rsidRPr="007C6C48">
              <w:rPr>
                <w:rFonts w:ascii="Roboto" w:hAnsi="Roboto"/>
              </w:rPr>
              <w:t>wt%</w:t>
            </w:r>
          </w:p>
        </w:tc>
        <w:tc>
          <w:tcPr>
            <w:tcW w:w="2296" w:type="dxa"/>
          </w:tcPr>
          <w:p w14:paraId="113039A4" w14:textId="72EC30AE" w:rsidR="005C2D66" w:rsidRPr="007C6C48" w:rsidRDefault="005F59D0" w:rsidP="0033622B">
            <w:pPr>
              <w:ind w:firstLine="0"/>
              <w:jc w:val="right"/>
              <w:rPr>
                <w:rFonts w:ascii="Roboto" w:hAnsi="Roboto"/>
              </w:rPr>
            </w:pPr>
            <w:r w:rsidRPr="007C6C48">
              <w:rPr>
                <w:rFonts w:ascii="Roboto" w:hAnsi="Roboto"/>
              </w:rPr>
              <w:t>99.89</w:t>
            </w:r>
          </w:p>
        </w:tc>
        <w:tc>
          <w:tcPr>
            <w:tcW w:w="2420" w:type="dxa"/>
          </w:tcPr>
          <w:p w14:paraId="02201070" w14:textId="77777777" w:rsidR="005C2D66" w:rsidRPr="007C6C48" w:rsidRDefault="005C2D66" w:rsidP="0033622B">
            <w:pPr>
              <w:ind w:firstLine="0"/>
              <w:jc w:val="right"/>
              <w:rPr>
                <w:rFonts w:ascii="Roboto" w:hAnsi="Roboto"/>
              </w:rPr>
            </w:pPr>
            <w:r w:rsidRPr="007C6C48">
              <w:rPr>
                <w:rFonts w:ascii="Roboto" w:hAnsi="Roboto"/>
              </w:rPr>
              <w:t>100.0000</w:t>
            </w:r>
          </w:p>
        </w:tc>
      </w:tr>
    </w:tbl>
    <w:p w14:paraId="71E21B70" w14:textId="77777777" w:rsidR="00BA0C41" w:rsidRPr="007C6C48" w:rsidRDefault="00BA0C41" w:rsidP="008C68F9">
      <w:pPr>
        <w:rPr>
          <w:rFonts w:ascii="Roboto" w:hAnsi="Roboto"/>
        </w:rPr>
      </w:pPr>
    </w:p>
    <w:p w14:paraId="1E4B4A75" w14:textId="72C1F3FE" w:rsidR="0016716F" w:rsidRPr="007C6C48" w:rsidRDefault="0016716F" w:rsidP="0016716F">
      <w:pPr>
        <w:pStyle w:val="Heading1"/>
        <w:rPr>
          <w:rFonts w:ascii="Roboto" w:hAnsi="Roboto"/>
        </w:rPr>
      </w:pPr>
      <w:r w:rsidRPr="007C6C48">
        <w:rPr>
          <w:rFonts w:ascii="Roboto" w:hAnsi="Roboto"/>
        </w:rPr>
        <w:t>Degassing and regassing calculation</w:t>
      </w:r>
      <w:bookmarkEnd w:id="14"/>
      <w:r w:rsidRPr="007C6C48">
        <w:rPr>
          <w:rFonts w:ascii="Roboto" w:hAnsi="Roboto"/>
        </w:rPr>
        <w:t>s</w:t>
      </w:r>
    </w:p>
    <w:p w14:paraId="4C63D2C4" w14:textId="197AF23D" w:rsidR="0016716F" w:rsidRPr="007C6C48" w:rsidRDefault="0016716F" w:rsidP="00A20467">
      <w:pPr>
        <w:ind w:firstLine="450"/>
        <w:rPr>
          <w:rFonts w:ascii="Roboto" w:hAnsi="Roboto"/>
        </w:rPr>
      </w:pPr>
      <w:r w:rsidRPr="007C6C48">
        <w:rPr>
          <w:rFonts w:ascii="Roboto" w:hAnsi="Roboto"/>
        </w:rPr>
        <w:t xml:space="preserve">We start each re- or degassing calculation by determining </w:t>
      </w: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and the speciation of the volatiles in the melt at </w:t>
      </w: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as described in </w:t>
      </w:r>
      <w:r w:rsidRPr="007C6C48">
        <w:rPr>
          <w:rFonts w:ascii="Roboto" w:hAnsi="Roboto"/>
        </w:rPr>
        <w:fldChar w:fldCharType="begin" w:fldLock="1"/>
      </w:r>
      <w:r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Pr="007C6C48">
        <w:rPr>
          <w:rFonts w:ascii="Roboto" w:hAnsi="Roboto"/>
        </w:rPr>
        <w:fldChar w:fldCharType="separate"/>
      </w:r>
      <w:r w:rsidRPr="007C6C48">
        <w:rPr>
          <w:rFonts w:ascii="Roboto" w:hAnsi="Roboto"/>
          <w:noProof/>
        </w:rPr>
        <w:t>Hughes et al. (2024)</w:t>
      </w:r>
      <w:r w:rsidRPr="007C6C48">
        <w:rPr>
          <w:rFonts w:ascii="Roboto" w:hAnsi="Roboto"/>
        </w:rPr>
        <w:fldChar w:fldCharType="end"/>
      </w:r>
      <w:r w:rsidRPr="007C6C48">
        <w:rPr>
          <w:rFonts w:ascii="Roboto" w:hAnsi="Roboto"/>
        </w:rPr>
        <w:t xml:space="preserve">. This sets the bulk composition of the system, especially for oxygen, which is distributed between the volatiles (i.e., </w:t>
      </w:r>
      <w:proofErr w:type="gramStart"/>
      <w:r w:rsidRPr="007C6C48">
        <w:rPr>
          <w:rFonts w:ascii="Roboto" w:hAnsi="Roboto"/>
        </w:rPr>
        <w:t>CO</w:t>
      </w:r>
      <w:r w:rsidRPr="007C6C48">
        <w:rPr>
          <w:rFonts w:ascii="Roboto" w:hAnsi="Roboto"/>
          <w:vertAlign w:val="subscript"/>
        </w:rPr>
        <w:t>2,T</w:t>
      </w:r>
      <w:proofErr w:type="gramEnd"/>
      <w:r w:rsidRPr="007C6C48">
        <w:rPr>
          <w:rFonts w:ascii="Roboto" w:hAnsi="Roboto"/>
        </w:rPr>
        <w:t>, H</w:t>
      </w:r>
      <w:r w:rsidRPr="007C6C48">
        <w:rPr>
          <w:rFonts w:ascii="Roboto" w:hAnsi="Roboto"/>
          <w:vertAlign w:val="subscript"/>
        </w:rPr>
        <w:t>2</w:t>
      </w:r>
      <w:r w:rsidRPr="007C6C48">
        <w:rPr>
          <w:rFonts w:ascii="Roboto" w:hAnsi="Roboto"/>
        </w:rPr>
        <w:t>O</w:t>
      </w:r>
      <w:r w:rsidRPr="007C6C48">
        <w:rPr>
          <w:rFonts w:ascii="Roboto" w:hAnsi="Roboto"/>
          <w:vertAlign w:val="subscript"/>
        </w:rPr>
        <w:t>T</w:t>
      </w:r>
      <w:r w:rsidRPr="007C6C48">
        <w:rPr>
          <w:rFonts w:ascii="Roboto" w:hAnsi="Roboto"/>
        </w:rPr>
        <w:t>, SO</w:t>
      </w:r>
      <w:r w:rsidRPr="007C6C48">
        <w:rPr>
          <w:rFonts w:ascii="Roboto" w:hAnsi="Roboto"/>
          <w:vertAlign w:val="subscript"/>
        </w:rPr>
        <w:t>4</w:t>
      </w:r>
      <w:r w:rsidRPr="007C6C48">
        <w:rPr>
          <w:rFonts w:ascii="Roboto" w:hAnsi="Roboto"/>
          <w:vertAlign w:val="superscript"/>
        </w:rPr>
        <w:t>2-</w:t>
      </w:r>
      <w:r w:rsidRPr="007C6C48">
        <w:rPr>
          <w:rFonts w:ascii="Roboto" w:hAnsi="Roboto"/>
        </w:rPr>
        <w:t>, and CO) and iron (i.e., FeO and FeO</w:t>
      </w:r>
      <w:r w:rsidRPr="007C6C48">
        <w:rPr>
          <w:rFonts w:ascii="Roboto" w:hAnsi="Roboto"/>
          <w:vertAlign w:val="subscript"/>
        </w:rPr>
        <w:t>1.5</w:t>
      </w:r>
      <w:r w:rsidRPr="007C6C48">
        <w:rPr>
          <w:rFonts w:ascii="Roboto" w:hAnsi="Roboto"/>
        </w:rPr>
        <w:t>) in the melt</w:t>
      </w:r>
      <w:r w:rsidR="00857B23" w:rsidRPr="007C6C48">
        <w:rPr>
          <w:rFonts w:ascii="Roboto" w:hAnsi="Roboto"/>
        </w:rPr>
        <w:t xml:space="preserve"> according to eq. (</w:t>
      </w:r>
      <w:r w:rsidR="009610B9" w:rsidRPr="007C6C48">
        <w:rPr>
          <w:rFonts w:ascii="Roboto" w:hAnsi="Roboto"/>
        </w:rPr>
        <w:t>30</w:t>
      </w:r>
      <w:r w:rsidR="005C2D66" w:rsidRPr="007C6C48">
        <w:rPr>
          <w:rFonts w:ascii="Roboto" w:hAnsi="Roboto"/>
        </w:rPr>
        <w:t>) and (3</w:t>
      </w:r>
      <w:r w:rsidR="009610B9" w:rsidRPr="007C6C48">
        <w:rPr>
          <w:rFonts w:ascii="Roboto" w:hAnsi="Roboto"/>
        </w:rPr>
        <w:t>1</w:t>
      </w:r>
      <w:r w:rsidR="00857B23" w:rsidRPr="007C6C48">
        <w:rPr>
          <w:rFonts w:ascii="Roboto" w:hAnsi="Roboto"/>
        </w:rPr>
        <w:t>)</w:t>
      </w:r>
      <w:r w:rsidR="005C2D66" w:rsidRPr="007C6C48">
        <w:rPr>
          <w:rFonts w:ascii="Roboto" w:hAnsi="Roboto"/>
        </w:rPr>
        <w:t xml:space="preserve"> in the main text</w:t>
      </w:r>
      <w:r w:rsidR="00857B23" w:rsidRPr="007C6C48">
        <w:rPr>
          <w:rFonts w:ascii="Roboto" w:hAnsi="Roboto"/>
        </w:rPr>
        <w:t xml:space="preserve">. </w:t>
      </w:r>
      <w:r w:rsidRPr="007C6C48">
        <w:rPr>
          <w:rFonts w:ascii="Roboto" w:hAnsi="Roboto"/>
        </w:rPr>
        <w:t>Note that th</w:t>
      </w:r>
      <w:r w:rsidR="00857B23" w:rsidRPr="007C6C48">
        <w:rPr>
          <w:rFonts w:ascii="Roboto" w:hAnsi="Roboto"/>
        </w:rPr>
        <w:t>e</w:t>
      </w:r>
      <w:r w:rsidRPr="007C6C48">
        <w:rPr>
          <w:rFonts w:ascii="Roboto" w:hAnsi="Roboto"/>
        </w:rPr>
        <w:t xml:space="preserve"> mass balance constraint</w:t>
      </w:r>
      <w:r w:rsidR="00857B23" w:rsidRPr="007C6C48">
        <w:rPr>
          <w:rFonts w:ascii="Roboto" w:hAnsi="Roboto"/>
        </w:rPr>
        <w:t xml:space="preserve"> for oxygen</w:t>
      </w:r>
      <w:r w:rsidRPr="007C6C48">
        <w:rPr>
          <w:rFonts w:ascii="Roboto" w:hAnsi="Roboto"/>
        </w:rPr>
        <w:t xml:space="preserve"> does not include oxygen in the silicate melt component which does not exchange between melt and vapor, as this does not partake in degassing.</w:t>
      </w:r>
      <w:r w:rsidR="005C2D66" w:rsidRPr="007C6C48">
        <w:rPr>
          <w:rFonts w:ascii="Roboto" w:hAnsi="Roboto"/>
        </w:rPr>
        <w:t xml:space="preserve"> </w:t>
      </w:r>
      <w:r w:rsidRPr="007C6C48">
        <w:rPr>
          <w:rFonts w:ascii="Roboto" w:hAnsi="Roboto"/>
        </w:rPr>
        <w:t xml:space="preserve">If the inputted melt composition (including volatiles and </w:t>
      </w:r>
      <w:r w:rsidRPr="007C6C48">
        <w:rPr>
          <w:rFonts w:ascii="Roboto" w:hAnsi="Roboto"/>
          <w:i/>
          <w:iCs/>
        </w:rPr>
        <w:t>f</w:t>
      </w:r>
      <w:r w:rsidRPr="007C6C48">
        <w:rPr>
          <w:rFonts w:ascii="Roboto" w:hAnsi="Roboto"/>
          <w:vertAlign w:val="subscript"/>
        </w:rPr>
        <w:t>O2</w:t>
      </w:r>
      <w:r w:rsidRPr="007C6C48">
        <w:rPr>
          <w:rFonts w:ascii="Roboto" w:hAnsi="Roboto"/>
        </w:rPr>
        <w:t xml:space="preserve"> estimate) does not represent the bulk composition (i.e., there is vapor present), the vapor must be added back to calculate the bulk composition</w:t>
      </w:r>
      <w:r w:rsidR="005C2D66" w:rsidRPr="007C6C48">
        <w:rPr>
          <w:rFonts w:ascii="Roboto" w:hAnsi="Roboto"/>
        </w:rPr>
        <w:t xml:space="preserve"> (eq. 22 in the main text)</w:t>
      </w:r>
      <w:r w:rsidRPr="007C6C48">
        <w:rPr>
          <w:rFonts w:ascii="Roboto" w:hAnsi="Roboto"/>
        </w:rPr>
        <w:t xml:space="preserve">. At each </w:t>
      </w:r>
      <w:r w:rsidRPr="007C6C48">
        <w:rPr>
          <w:rFonts w:ascii="Roboto" w:hAnsi="Roboto"/>
          <w:i/>
          <w:iCs/>
        </w:rPr>
        <w:t>P</w:t>
      </w:r>
      <w:r w:rsidRPr="007C6C48">
        <w:rPr>
          <w:rFonts w:ascii="Roboto" w:hAnsi="Roboto"/>
        </w:rPr>
        <w:t>, the mass balance constraint for each component distributed between melt and vapor must be satisfied as described in eq. (</w:t>
      </w:r>
      <w:r w:rsidR="005C2D66" w:rsidRPr="007C6C48">
        <w:rPr>
          <w:rFonts w:ascii="Roboto" w:hAnsi="Roboto"/>
        </w:rPr>
        <w:t>22</w:t>
      </w:r>
      <w:r w:rsidRPr="007C6C48">
        <w:rPr>
          <w:rFonts w:ascii="Roboto" w:hAnsi="Roboto"/>
        </w:rPr>
        <w:t>–</w:t>
      </w:r>
      <w:r w:rsidR="005C2D66" w:rsidRPr="007C6C48">
        <w:rPr>
          <w:rFonts w:ascii="Roboto" w:hAnsi="Roboto"/>
        </w:rPr>
        <w:t>3</w:t>
      </w:r>
      <w:r w:rsidR="009610B9" w:rsidRPr="007C6C48">
        <w:rPr>
          <w:rFonts w:ascii="Roboto" w:hAnsi="Roboto"/>
        </w:rPr>
        <w:t>3</w:t>
      </w:r>
      <w:r w:rsidRPr="007C6C48">
        <w:rPr>
          <w:rFonts w:ascii="Roboto" w:hAnsi="Roboto"/>
        </w:rPr>
        <w:t>)</w:t>
      </w:r>
      <w:r w:rsidR="005C2D66" w:rsidRPr="007C6C48">
        <w:rPr>
          <w:rFonts w:ascii="Roboto" w:hAnsi="Roboto"/>
        </w:rPr>
        <w:t xml:space="preserve"> in the main text</w:t>
      </w:r>
      <w:r w:rsidRPr="007C6C48">
        <w:rPr>
          <w:rFonts w:ascii="Roboto" w:hAnsi="Roboto"/>
        </w:rPr>
        <w:t>.</w:t>
      </w:r>
    </w:p>
    <w:p w14:paraId="0ED62DEA" w14:textId="77777777" w:rsidR="00A20467" w:rsidRPr="007C6C48" w:rsidRDefault="00A20467" w:rsidP="0016716F">
      <w:pPr>
        <w:jc w:val="both"/>
        <w:rPr>
          <w:rFonts w:ascii="Roboto" w:hAnsi="Roboto"/>
        </w:rPr>
      </w:pPr>
    </w:p>
    <w:p w14:paraId="2C999121" w14:textId="03E8A387" w:rsidR="0016716F" w:rsidRPr="007C6C48" w:rsidRDefault="0016716F" w:rsidP="0016716F">
      <w:pPr>
        <w:jc w:val="both"/>
        <w:rPr>
          <w:rFonts w:ascii="Roboto" w:hAnsi="Roboto"/>
        </w:rPr>
      </w:pPr>
      <w:r w:rsidRPr="007C6C48">
        <w:rPr>
          <w:rFonts w:ascii="Roboto" w:hAnsi="Roboto"/>
        </w:rPr>
        <w:t xml:space="preserve">Here we outline the approach for calculating vapor and melt compositions and proportions described in Section </w:t>
      </w:r>
      <w:r w:rsidR="009610B9" w:rsidRPr="007C6C48">
        <w:rPr>
          <w:rFonts w:ascii="Roboto" w:hAnsi="Roboto"/>
        </w:rPr>
        <w:t>4.3</w:t>
      </w:r>
      <w:r w:rsidRPr="007C6C48">
        <w:rPr>
          <w:rFonts w:ascii="Roboto" w:hAnsi="Roboto"/>
        </w:rPr>
        <w:t xml:space="preserve"> of the main text in more detail (a flow chart of this calculation is shown in </w:t>
      </w:r>
      <w:r w:rsidR="009610B9" w:rsidRPr="007C6C48">
        <w:rPr>
          <w:rFonts w:ascii="Roboto" w:hAnsi="Roboto"/>
        </w:rPr>
        <w:t xml:space="preserve">Figure 6 </w:t>
      </w:r>
      <w:r w:rsidRPr="007C6C48">
        <w:rPr>
          <w:rFonts w:ascii="Roboto" w:hAnsi="Roboto"/>
        </w:rPr>
        <w:t>of the main text).</w:t>
      </w:r>
    </w:p>
    <w:p w14:paraId="1A61765B" w14:textId="037A34DB" w:rsidR="0016716F" w:rsidRPr="007C6C48" w:rsidRDefault="0016716F" w:rsidP="00D03159">
      <w:pPr>
        <w:pStyle w:val="ListParagraph"/>
        <w:numPr>
          <w:ilvl w:val="0"/>
          <w:numId w:val="2"/>
        </w:numPr>
        <w:jc w:val="both"/>
        <w:rPr>
          <w:rFonts w:ascii="Roboto" w:hAnsi="Roboto"/>
        </w:rPr>
      </w:pPr>
      <w:r w:rsidRPr="007C6C48">
        <w:rPr>
          <w:rFonts w:ascii="Roboto" w:hAnsi="Roboto"/>
        </w:rPr>
        <w:t xml:space="preserve">The inputs for the calculation are </w:t>
      </w:r>
      <w:r w:rsidRPr="007C6C48">
        <w:rPr>
          <w:rFonts w:ascii="Roboto" w:hAnsi="Roboto"/>
          <w:i/>
          <w:iCs/>
        </w:rPr>
        <w:t>T</w:t>
      </w:r>
      <w:r w:rsidRPr="007C6C48">
        <w:rPr>
          <w:rFonts w:ascii="Roboto" w:hAnsi="Roboto"/>
        </w:rPr>
        <w:t>, major element composition of the melt, concentrations of volatile components in the melt (H</w:t>
      </w:r>
      <w:r w:rsidRPr="007C6C48">
        <w:rPr>
          <w:rFonts w:ascii="Roboto" w:hAnsi="Roboto"/>
          <w:vertAlign w:val="subscript"/>
        </w:rPr>
        <w:t>2</w:t>
      </w:r>
      <w:r w:rsidRPr="007C6C48">
        <w:rPr>
          <w:rFonts w:ascii="Roboto" w:hAnsi="Roboto"/>
        </w:rPr>
        <w:t>O-eq, CO</w:t>
      </w:r>
      <w:r w:rsidRPr="007C6C48">
        <w:rPr>
          <w:rFonts w:ascii="Roboto" w:hAnsi="Roboto"/>
          <w:vertAlign w:val="subscript"/>
        </w:rPr>
        <w:t>2</w:t>
      </w:r>
      <w:r w:rsidRPr="007C6C48">
        <w:rPr>
          <w:rFonts w:ascii="Roboto" w:hAnsi="Roboto"/>
        </w:rPr>
        <w:t xml:space="preserve">-eq, and S-eq), </w:t>
      </w:r>
      <w:r w:rsidRPr="007C6C48">
        <w:rPr>
          <w:rFonts w:ascii="Roboto" w:hAnsi="Roboto"/>
          <w:i/>
          <w:iCs/>
        </w:rPr>
        <w:t>f</w:t>
      </w:r>
      <w:r w:rsidRPr="007C6C48">
        <w:rPr>
          <w:rFonts w:ascii="Roboto" w:hAnsi="Roboto"/>
          <w:vertAlign w:val="subscript"/>
        </w:rPr>
        <w:t>O2</w:t>
      </w:r>
      <w:r w:rsidRPr="007C6C48">
        <w:rPr>
          <w:rFonts w:ascii="Roboto" w:hAnsi="Roboto"/>
        </w:rPr>
        <w:t xml:space="preserve"> or Fe</w:t>
      </w:r>
      <w:r w:rsidRPr="007C6C48">
        <w:rPr>
          <w:rFonts w:ascii="Roboto" w:hAnsi="Roboto"/>
          <w:vertAlign w:val="superscript"/>
        </w:rPr>
        <w:t>3+</w:t>
      </w:r>
      <w:r w:rsidRPr="007C6C48">
        <w:rPr>
          <w:rFonts w:ascii="Roboto" w:hAnsi="Roboto"/>
        </w:rPr>
        <w:t>/Fe</w:t>
      </w:r>
      <w:r w:rsidRPr="007C6C48">
        <w:rPr>
          <w:rFonts w:ascii="Roboto" w:hAnsi="Roboto"/>
          <w:vertAlign w:val="subscript"/>
        </w:rPr>
        <w:t>T</w:t>
      </w:r>
      <w:r w:rsidRPr="007C6C48">
        <w:rPr>
          <w:rFonts w:ascii="Roboto" w:hAnsi="Roboto"/>
        </w:rPr>
        <w:t xml:space="preserve">. The step-size of </w:t>
      </w:r>
      <w:r w:rsidRPr="007C6C48">
        <w:rPr>
          <w:rFonts w:ascii="Roboto" w:hAnsi="Roboto"/>
          <w:i/>
          <w:iCs/>
        </w:rPr>
        <w:t>P</w:t>
      </w:r>
      <w:r w:rsidRPr="007C6C48">
        <w:rPr>
          <w:rFonts w:ascii="Roboto" w:hAnsi="Roboto"/>
        </w:rPr>
        <w:t xml:space="preserve"> can also be set. Options are either closed- or open-system re- or degassing.</w:t>
      </w:r>
    </w:p>
    <w:p w14:paraId="280652F5"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and the melt/vapor speciation is calculated.</w:t>
      </w:r>
    </w:p>
    <w:p w14:paraId="15A948F0"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rPr>
        <w:t>Bulk composition of the system is calculated, either:</w:t>
      </w:r>
    </w:p>
    <w:p w14:paraId="1A5FE10D" w14:textId="77777777"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The melt composition at </w:t>
      </w: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is the bulk composition of the system, or</w:t>
      </w:r>
    </w:p>
    <w:p w14:paraId="6B497C99" w14:textId="7C3089FD" w:rsidR="0016716F" w:rsidRPr="007C6C48" w:rsidRDefault="0016716F" w:rsidP="00D03159">
      <w:pPr>
        <w:pStyle w:val="ListParagraph"/>
        <w:numPr>
          <w:ilvl w:val="1"/>
          <w:numId w:val="2"/>
        </w:numPr>
        <w:jc w:val="both"/>
        <w:rPr>
          <w:rFonts w:ascii="Roboto" w:hAnsi="Roboto"/>
        </w:rPr>
      </w:pPr>
      <w:r w:rsidRPr="007C6C48">
        <w:rPr>
          <w:rFonts w:ascii="Roboto" w:eastAsiaTheme="majorEastAsia" w:hAnsi="Roboto" w:cstheme="majorBidi"/>
          <w:color w:val="000000" w:themeColor="text1"/>
          <w:szCs w:val="32"/>
        </w:rPr>
        <w:t xml:space="preserve">The proportion of vapor present at </w:t>
      </w:r>
      <w:r w:rsidRPr="007C6C48">
        <w:rPr>
          <w:rFonts w:ascii="Roboto" w:eastAsiaTheme="majorEastAsia" w:hAnsi="Roboto" w:cstheme="majorBidi"/>
          <w:i/>
          <w:iCs/>
          <w:color w:val="000000" w:themeColor="text1"/>
          <w:szCs w:val="32"/>
        </w:rPr>
        <w:t>P</w:t>
      </w:r>
      <w:r w:rsidRPr="007C6C48">
        <w:rPr>
          <w:rFonts w:ascii="Roboto" w:eastAsiaTheme="majorEastAsia" w:hAnsi="Roboto" w:cstheme="majorBidi"/>
          <w:i/>
          <w:iCs/>
          <w:color w:val="000000" w:themeColor="text1"/>
          <w:szCs w:val="32"/>
          <w:vertAlign w:val="superscript"/>
        </w:rPr>
        <w:t>v</w:t>
      </w:r>
      <w:r w:rsidRPr="007C6C48">
        <w:rPr>
          <w:rFonts w:ascii="Roboto" w:eastAsiaTheme="majorEastAsia" w:hAnsi="Roboto" w:cstheme="majorBidi"/>
          <w:color w:val="000000" w:themeColor="text1"/>
          <w:szCs w:val="32"/>
          <w:vertAlign w:val="subscript"/>
        </w:rPr>
        <w:t>sat</w:t>
      </w:r>
      <w:r w:rsidRPr="007C6C48">
        <w:rPr>
          <w:rFonts w:ascii="Roboto" w:eastAsiaTheme="majorEastAsia" w:hAnsi="Roboto" w:cstheme="majorBidi"/>
          <w:color w:val="000000" w:themeColor="text1"/>
          <w:szCs w:val="32"/>
        </w:rPr>
        <w:t xml:space="preserve"> is given, which is inputted as </w:t>
      </w:r>
      <w:r w:rsidRPr="007C6C48">
        <w:rPr>
          <w:rFonts w:ascii="Roboto" w:eastAsiaTheme="majorEastAsia" w:hAnsi="Roboto" w:cstheme="majorBidi"/>
          <w:i/>
          <w:iCs/>
          <w:color w:val="000000" w:themeColor="text1"/>
          <w:szCs w:val="32"/>
        </w:rPr>
        <w:t>w</w:t>
      </w:r>
      <w:r w:rsidRPr="007C6C48">
        <w:rPr>
          <w:rFonts w:ascii="Roboto" w:eastAsiaTheme="majorEastAsia" w:hAnsi="Roboto" w:cstheme="majorBidi"/>
          <w:i/>
          <w:iCs/>
          <w:color w:val="000000" w:themeColor="text1"/>
          <w:szCs w:val="32"/>
          <w:vertAlign w:val="superscript"/>
        </w:rPr>
        <w:t>T</w:t>
      </w:r>
      <w:r w:rsidR="005D0D30" w:rsidRPr="007C6C48">
        <w:rPr>
          <w:rFonts w:ascii="Roboto" w:eastAsiaTheme="majorEastAsia" w:hAnsi="Roboto" w:cstheme="majorBidi"/>
          <w:i/>
          <w:iCs/>
          <w:color w:val="000000" w:themeColor="text1"/>
          <w:szCs w:val="32"/>
          <w:vertAlign w:val="subscript"/>
        </w:rPr>
        <w:t>v</w:t>
      </w:r>
      <w:r w:rsidRPr="007C6C48">
        <w:rPr>
          <w:rFonts w:ascii="Roboto" w:eastAsiaTheme="majorEastAsia" w:hAnsi="Roboto" w:cstheme="majorBidi"/>
          <w:color w:val="000000" w:themeColor="text1"/>
          <w:szCs w:val="32"/>
        </w:rPr>
        <w:t xml:space="preserve"> in eq. (</w:t>
      </w:r>
      <w:r w:rsidR="005C2D66" w:rsidRPr="007C6C48">
        <w:rPr>
          <w:rFonts w:ascii="Roboto" w:eastAsiaTheme="majorEastAsia" w:hAnsi="Roboto" w:cstheme="majorBidi"/>
          <w:color w:val="000000" w:themeColor="text1"/>
          <w:szCs w:val="32"/>
        </w:rPr>
        <w:t>22</w:t>
      </w:r>
      <w:r w:rsidRPr="007C6C48">
        <w:rPr>
          <w:rFonts w:ascii="Roboto" w:eastAsiaTheme="majorEastAsia" w:hAnsi="Roboto" w:cstheme="majorBidi"/>
          <w:color w:val="000000" w:themeColor="text1"/>
          <w:szCs w:val="32"/>
        </w:rPr>
        <w:t>)</w:t>
      </w:r>
      <w:r w:rsidR="005C2D66" w:rsidRPr="007C6C48">
        <w:rPr>
          <w:rFonts w:ascii="Roboto" w:eastAsiaTheme="majorEastAsia" w:hAnsi="Roboto" w:cstheme="majorBidi"/>
          <w:color w:val="000000" w:themeColor="text1"/>
          <w:szCs w:val="32"/>
        </w:rPr>
        <w:t xml:space="preserve"> in the main text</w:t>
      </w:r>
      <w:r w:rsidRPr="007C6C48">
        <w:rPr>
          <w:rFonts w:ascii="Roboto" w:eastAsiaTheme="majorEastAsia" w:hAnsi="Roboto" w:cstheme="majorBidi"/>
          <w:color w:val="000000" w:themeColor="text1"/>
          <w:szCs w:val="32"/>
        </w:rPr>
        <w:t xml:space="preserve"> as well as the melt and vapor composition calculated at </w:t>
      </w:r>
      <w:r w:rsidRPr="007C6C48">
        <w:rPr>
          <w:rFonts w:ascii="Roboto" w:eastAsiaTheme="majorEastAsia" w:hAnsi="Roboto" w:cstheme="majorBidi"/>
          <w:i/>
          <w:iCs/>
          <w:color w:val="000000" w:themeColor="text1"/>
          <w:szCs w:val="32"/>
        </w:rPr>
        <w:t>P</w:t>
      </w:r>
      <w:r w:rsidRPr="007C6C48">
        <w:rPr>
          <w:rFonts w:ascii="Roboto" w:eastAsiaTheme="majorEastAsia" w:hAnsi="Roboto" w:cstheme="majorBidi"/>
          <w:i/>
          <w:iCs/>
          <w:color w:val="000000" w:themeColor="text1"/>
          <w:szCs w:val="32"/>
          <w:vertAlign w:val="superscript"/>
        </w:rPr>
        <w:t>v</w:t>
      </w:r>
      <w:r w:rsidRPr="007C6C48">
        <w:rPr>
          <w:rFonts w:ascii="Roboto" w:eastAsiaTheme="majorEastAsia" w:hAnsi="Roboto" w:cstheme="majorBidi"/>
          <w:color w:val="000000" w:themeColor="text1"/>
          <w:szCs w:val="32"/>
          <w:vertAlign w:val="subscript"/>
        </w:rPr>
        <w:t>sat</w:t>
      </w:r>
      <w:r w:rsidRPr="007C6C48">
        <w:rPr>
          <w:rFonts w:ascii="Roboto" w:eastAsiaTheme="majorEastAsia" w:hAnsi="Roboto" w:cstheme="majorBidi"/>
          <w:color w:val="000000" w:themeColor="text1"/>
          <w:szCs w:val="32"/>
        </w:rPr>
        <w:t xml:space="preserve">, enabling </w:t>
      </w:r>
      <w:r w:rsidRPr="007C6C48">
        <w:rPr>
          <w:rFonts w:ascii="Roboto" w:eastAsiaTheme="majorEastAsia" w:hAnsi="Roboto" w:cstheme="majorBidi"/>
          <w:i/>
          <w:iCs/>
          <w:color w:val="000000" w:themeColor="text1"/>
          <w:szCs w:val="32"/>
        </w:rPr>
        <w:t>w</w:t>
      </w:r>
      <w:r w:rsidRPr="007C6C48">
        <w:rPr>
          <w:rFonts w:ascii="Roboto" w:eastAsiaTheme="majorEastAsia" w:hAnsi="Roboto" w:cstheme="majorBidi"/>
          <w:i/>
          <w:iCs/>
          <w:color w:val="000000" w:themeColor="text1"/>
          <w:szCs w:val="32"/>
          <w:vertAlign w:val="superscript"/>
        </w:rPr>
        <w:t>T</w:t>
      </w:r>
      <w:r w:rsidRPr="007C6C48">
        <w:rPr>
          <w:rFonts w:ascii="Roboto" w:eastAsiaTheme="majorEastAsia" w:hAnsi="Roboto" w:cstheme="majorBidi"/>
          <w:i/>
          <w:iCs/>
          <w:color w:val="000000" w:themeColor="text1"/>
          <w:szCs w:val="32"/>
          <w:vertAlign w:val="subscript"/>
        </w:rPr>
        <w:t>i</w:t>
      </w:r>
      <w:r w:rsidRPr="007C6C48">
        <w:rPr>
          <w:rFonts w:ascii="Roboto" w:eastAsiaTheme="majorEastAsia" w:hAnsi="Roboto" w:cstheme="majorBidi"/>
          <w:color w:val="000000" w:themeColor="text1"/>
          <w:szCs w:val="32"/>
        </w:rPr>
        <w:t>’s for all volatiles (i.e., C, O, S, and H) to be calculated, or</w:t>
      </w:r>
    </w:p>
    <w:p w14:paraId="7D3DE15B" w14:textId="214FD965" w:rsidR="0016716F" w:rsidRPr="007C6C48" w:rsidRDefault="0016716F" w:rsidP="00D03159">
      <w:pPr>
        <w:pStyle w:val="ListParagraph"/>
        <w:numPr>
          <w:ilvl w:val="1"/>
          <w:numId w:val="2"/>
        </w:numPr>
        <w:jc w:val="both"/>
        <w:rPr>
          <w:rFonts w:ascii="Roboto" w:hAnsi="Roboto"/>
        </w:rPr>
      </w:pPr>
      <w:r w:rsidRPr="007C6C48">
        <w:rPr>
          <w:rFonts w:ascii="Roboto" w:eastAsiaTheme="majorEastAsia" w:hAnsi="Roboto" w:cstheme="majorBidi"/>
          <w:color w:val="000000" w:themeColor="text1"/>
          <w:szCs w:val="32"/>
        </w:rPr>
        <w:t>The initial amount of CO</w:t>
      </w:r>
      <w:r w:rsidRPr="007C6C48">
        <w:rPr>
          <w:rFonts w:ascii="Roboto" w:eastAsiaTheme="majorEastAsia" w:hAnsi="Roboto" w:cstheme="majorBidi"/>
          <w:color w:val="000000" w:themeColor="text1"/>
          <w:szCs w:val="32"/>
          <w:vertAlign w:val="subscript"/>
        </w:rPr>
        <w:t>2</w:t>
      </w:r>
      <w:r w:rsidRPr="007C6C48">
        <w:rPr>
          <w:rFonts w:ascii="Roboto" w:eastAsiaTheme="majorEastAsia" w:hAnsi="Roboto" w:cstheme="majorBidi"/>
          <w:color w:val="000000" w:themeColor="text1"/>
          <w:szCs w:val="32"/>
        </w:rPr>
        <w:t>-eq in the melt is given, in which case eq. (</w:t>
      </w:r>
      <w:r w:rsidR="005C2D66" w:rsidRPr="007C6C48">
        <w:rPr>
          <w:rFonts w:ascii="Roboto" w:eastAsiaTheme="majorEastAsia" w:hAnsi="Roboto" w:cstheme="majorBidi"/>
          <w:color w:val="000000" w:themeColor="text1"/>
          <w:szCs w:val="32"/>
        </w:rPr>
        <w:t>22</w:t>
      </w:r>
      <w:r w:rsidRPr="007C6C48">
        <w:rPr>
          <w:rFonts w:ascii="Roboto" w:eastAsiaTheme="majorEastAsia" w:hAnsi="Roboto" w:cstheme="majorBidi"/>
          <w:color w:val="000000" w:themeColor="text1"/>
          <w:szCs w:val="32"/>
        </w:rPr>
        <w:t>)</w:t>
      </w:r>
      <w:r w:rsidR="005C2D66" w:rsidRPr="007C6C48">
        <w:rPr>
          <w:rFonts w:ascii="Roboto" w:eastAsiaTheme="majorEastAsia" w:hAnsi="Roboto" w:cstheme="majorBidi"/>
          <w:color w:val="000000" w:themeColor="text1"/>
          <w:szCs w:val="32"/>
        </w:rPr>
        <w:t xml:space="preserve"> in the main text</w:t>
      </w:r>
      <w:r w:rsidRPr="007C6C48">
        <w:rPr>
          <w:rFonts w:ascii="Roboto" w:eastAsiaTheme="majorEastAsia" w:hAnsi="Roboto" w:cstheme="majorBidi"/>
          <w:color w:val="000000" w:themeColor="text1"/>
          <w:szCs w:val="32"/>
        </w:rPr>
        <w:t xml:space="preserve"> is used to calculate </w:t>
      </w:r>
      <w:r w:rsidRPr="007C6C48">
        <w:rPr>
          <w:rFonts w:ascii="Roboto" w:eastAsiaTheme="majorEastAsia" w:hAnsi="Roboto" w:cstheme="majorBidi"/>
          <w:i/>
          <w:iCs/>
          <w:color w:val="000000" w:themeColor="text1"/>
          <w:szCs w:val="32"/>
        </w:rPr>
        <w:t>w</w:t>
      </w:r>
      <w:r w:rsidRPr="007C6C48">
        <w:rPr>
          <w:rFonts w:ascii="Roboto" w:eastAsiaTheme="majorEastAsia" w:hAnsi="Roboto" w:cstheme="majorBidi"/>
          <w:i/>
          <w:iCs/>
          <w:color w:val="000000" w:themeColor="text1"/>
          <w:szCs w:val="32"/>
          <w:vertAlign w:val="superscript"/>
        </w:rPr>
        <w:t>T</w:t>
      </w:r>
      <w:r w:rsidR="005D0D30" w:rsidRPr="007C6C48">
        <w:rPr>
          <w:rFonts w:ascii="Roboto" w:eastAsiaTheme="majorEastAsia" w:hAnsi="Roboto" w:cstheme="majorBidi"/>
          <w:i/>
          <w:iCs/>
          <w:color w:val="000000" w:themeColor="text1"/>
          <w:szCs w:val="32"/>
          <w:vertAlign w:val="subscript"/>
        </w:rPr>
        <w:t>v</w:t>
      </w:r>
      <w:r w:rsidRPr="007C6C48">
        <w:rPr>
          <w:rFonts w:ascii="Roboto" w:eastAsiaTheme="majorEastAsia" w:hAnsi="Roboto" w:cstheme="majorBidi"/>
          <w:color w:val="000000" w:themeColor="text1"/>
          <w:szCs w:val="32"/>
        </w:rPr>
        <w:t xml:space="preserve"> given </w:t>
      </w:r>
      <w:r w:rsidRPr="007C6C48">
        <w:rPr>
          <w:rFonts w:ascii="Roboto" w:eastAsiaTheme="majorEastAsia" w:hAnsi="Roboto" w:cstheme="majorBidi"/>
          <w:i/>
          <w:iCs/>
          <w:color w:val="000000" w:themeColor="text1"/>
          <w:szCs w:val="32"/>
        </w:rPr>
        <w:t>w</w:t>
      </w:r>
      <w:r w:rsidRPr="007C6C48">
        <w:rPr>
          <w:rFonts w:ascii="Roboto" w:eastAsiaTheme="majorEastAsia" w:hAnsi="Roboto" w:cstheme="majorBidi"/>
          <w:i/>
          <w:iCs/>
          <w:color w:val="000000" w:themeColor="text1"/>
          <w:szCs w:val="32"/>
          <w:vertAlign w:val="superscript"/>
        </w:rPr>
        <w:t>T</w:t>
      </w:r>
      <w:r w:rsidRPr="007C6C48">
        <w:rPr>
          <w:rFonts w:ascii="Roboto" w:eastAsiaTheme="majorEastAsia" w:hAnsi="Roboto" w:cstheme="majorBidi"/>
          <w:color w:val="000000" w:themeColor="text1"/>
          <w:szCs w:val="32"/>
          <w:vertAlign w:val="subscript"/>
        </w:rPr>
        <w:t>C</w:t>
      </w:r>
      <w:r w:rsidRPr="007C6C48">
        <w:rPr>
          <w:rFonts w:ascii="Roboto" w:eastAsiaTheme="majorEastAsia" w:hAnsi="Roboto" w:cstheme="majorBidi"/>
          <w:color w:val="000000" w:themeColor="text1"/>
          <w:szCs w:val="32"/>
        </w:rPr>
        <w:t xml:space="preserve"> and the melt and vapor composition at </w:t>
      </w:r>
      <w:r w:rsidRPr="007C6C48">
        <w:rPr>
          <w:rFonts w:ascii="Roboto" w:eastAsiaTheme="majorEastAsia" w:hAnsi="Roboto" w:cstheme="majorBidi"/>
          <w:i/>
          <w:iCs/>
          <w:color w:val="000000" w:themeColor="text1"/>
          <w:szCs w:val="32"/>
        </w:rPr>
        <w:t>P</w:t>
      </w:r>
      <w:r w:rsidRPr="007C6C48">
        <w:rPr>
          <w:rFonts w:ascii="Roboto" w:eastAsiaTheme="majorEastAsia" w:hAnsi="Roboto" w:cstheme="majorBidi"/>
          <w:i/>
          <w:iCs/>
          <w:color w:val="000000" w:themeColor="text1"/>
          <w:szCs w:val="32"/>
          <w:vertAlign w:val="superscript"/>
        </w:rPr>
        <w:t>v</w:t>
      </w:r>
      <w:r w:rsidRPr="007C6C48">
        <w:rPr>
          <w:rFonts w:ascii="Roboto" w:eastAsiaTheme="majorEastAsia" w:hAnsi="Roboto" w:cstheme="majorBidi"/>
          <w:color w:val="000000" w:themeColor="text1"/>
          <w:szCs w:val="32"/>
          <w:vertAlign w:val="subscript"/>
        </w:rPr>
        <w:t>sat</w:t>
      </w:r>
      <w:r w:rsidRPr="007C6C48">
        <w:rPr>
          <w:rFonts w:ascii="Roboto" w:eastAsiaTheme="majorEastAsia" w:hAnsi="Roboto" w:cstheme="majorBidi"/>
          <w:color w:val="000000" w:themeColor="text1"/>
          <w:szCs w:val="32"/>
        </w:rPr>
        <w:t xml:space="preserve">. Then the </w:t>
      </w:r>
      <w:r w:rsidRPr="007C6C48">
        <w:rPr>
          <w:rFonts w:ascii="Roboto" w:eastAsiaTheme="majorEastAsia" w:hAnsi="Roboto" w:cstheme="majorBidi"/>
          <w:i/>
          <w:iCs/>
          <w:color w:val="000000" w:themeColor="text1"/>
          <w:szCs w:val="32"/>
        </w:rPr>
        <w:t>w</w:t>
      </w:r>
      <w:r w:rsidRPr="007C6C48">
        <w:rPr>
          <w:rFonts w:ascii="Roboto" w:eastAsiaTheme="majorEastAsia" w:hAnsi="Roboto" w:cstheme="majorBidi"/>
          <w:i/>
          <w:iCs/>
          <w:color w:val="000000" w:themeColor="text1"/>
          <w:szCs w:val="32"/>
          <w:vertAlign w:val="superscript"/>
        </w:rPr>
        <w:t>T</w:t>
      </w:r>
      <w:r w:rsidRPr="007C6C48">
        <w:rPr>
          <w:rFonts w:ascii="Roboto" w:eastAsiaTheme="majorEastAsia" w:hAnsi="Roboto" w:cstheme="majorBidi"/>
          <w:i/>
          <w:iCs/>
          <w:color w:val="000000" w:themeColor="text1"/>
          <w:szCs w:val="32"/>
          <w:vertAlign w:val="subscript"/>
        </w:rPr>
        <w:t>i</w:t>
      </w:r>
      <w:r w:rsidRPr="007C6C48">
        <w:rPr>
          <w:rFonts w:ascii="Roboto" w:eastAsiaTheme="majorEastAsia" w:hAnsi="Roboto" w:cstheme="majorBidi"/>
          <w:color w:val="000000" w:themeColor="text1"/>
          <w:szCs w:val="32"/>
        </w:rPr>
        <w:t>’s for all volatiles (i.e., O, S, and H) to be calculated using eq. (</w:t>
      </w:r>
      <w:r w:rsidR="005C2D66" w:rsidRPr="007C6C48">
        <w:rPr>
          <w:rFonts w:ascii="Roboto" w:eastAsiaTheme="majorEastAsia" w:hAnsi="Roboto" w:cstheme="majorBidi"/>
          <w:color w:val="000000" w:themeColor="text1"/>
          <w:szCs w:val="32"/>
        </w:rPr>
        <w:t>22</w:t>
      </w:r>
      <w:r w:rsidRPr="007C6C48">
        <w:rPr>
          <w:rFonts w:ascii="Roboto" w:eastAsiaTheme="majorEastAsia" w:hAnsi="Roboto" w:cstheme="majorBidi"/>
          <w:color w:val="000000" w:themeColor="text1"/>
          <w:szCs w:val="32"/>
        </w:rPr>
        <w:t>)</w:t>
      </w:r>
      <w:r w:rsidR="005C2D66" w:rsidRPr="007C6C48">
        <w:rPr>
          <w:rFonts w:ascii="Roboto" w:eastAsiaTheme="majorEastAsia" w:hAnsi="Roboto" w:cstheme="majorBidi"/>
          <w:color w:val="000000" w:themeColor="text1"/>
          <w:szCs w:val="32"/>
        </w:rPr>
        <w:t xml:space="preserve"> in the main text</w:t>
      </w:r>
      <w:r w:rsidRPr="007C6C48">
        <w:rPr>
          <w:rFonts w:ascii="Roboto" w:eastAsiaTheme="majorEastAsia" w:hAnsi="Roboto" w:cstheme="majorBidi"/>
          <w:color w:val="000000" w:themeColor="text1"/>
          <w:szCs w:val="32"/>
        </w:rPr>
        <w:t>.</w:t>
      </w:r>
    </w:p>
    <w:p w14:paraId="49FB4FED"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i/>
          <w:iCs/>
        </w:rPr>
        <w:t>P</w:t>
      </w:r>
      <w:r w:rsidRPr="007C6C48">
        <w:rPr>
          <w:rFonts w:ascii="Roboto" w:hAnsi="Roboto"/>
        </w:rPr>
        <w:t xml:space="preserve"> is de/increased.</w:t>
      </w:r>
    </w:p>
    <w:p w14:paraId="49361848"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i/>
          <w:iCs/>
        </w:rPr>
        <w:t>x</w:t>
      </w:r>
      <w:r w:rsidRPr="007C6C48">
        <w:rPr>
          <w:rFonts w:ascii="Roboto" w:hAnsi="Roboto"/>
          <w:i/>
          <w:iCs/>
          <w:vertAlign w:val="superscript"/>
        </w:rPr>
        <w:t>v</w:t>
      </w:r>
      <w:r w:rsidRPr="007C6C48">
        <w:rPr>
          <w:rFonts w:ascii="Roboto" w:hAnsi="Roboto"/>
          <w:i/>
          <w:iCs/>
          <w:vertAlign w:val="subscript"/>
        </w:rPr>
        <w:t>i</w:t>
      </w:r>
      <w:r w:rsidRPr="007C6C48">
        <w:rPr>
          <w:rFonts w:ascii="Roboto" w:hAnsi="Roboto"/>
        </w:rPr>
        <w:t>’s are calculated:</w:t>
      </w:r>
    </w:p>
    <w:p w14:paraId="3B4E4C30" w14:textId="77777777"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Initial guesses for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S2</w:t>
      </w:r>
      <w:r w:rsidRPr="007C6C48">
        <w:rPr>
          <w:rFonts w:ascii="Roboto" w:hAnsi="Roboto"/>
        </w:rPr>
        <w:t xml:space="preserve"> are taken from the previous </w:t>
      </w:r>
      <w:r w:rsidRPr="007C6C48">
        <w:rPr>
          <w:rFonts w:ascii="Roboto" w:hAnsi="Roboto"/>
          <w:i/>
          <w:iCs/>
        </w:rPr>
        <w:t>P</w:t>
      </w:r>
      <w:r w:rsidRPr="007C6C48">
        <w:rPr>
          <w:rFonts w:ascii="Roboto" w:hAnsi="Roboto"/>
        </w:rPr>
        <w:t xml:space="preserve"> step.</w:t>
      </w:r>
    </w:p>
    <w:p w14:paraId="45CD9299" w14:textId="18A0B95F" w:rsidR="0016716F" w:rsidRPr="007C6C48" w:rsidRDefault="0016716F" w:rsidP="00D03159">
      <w:pPr>
        <w:pStyle w:val="ListParagraph"/>
        <w:numPr>
          <w:ilvl w:val="1"/>
          <w:numId w:val="2"/>
        </w:numPr>
        <w:jc w:val="both"/>
        <w:rPr>
          <w:rFonts w:ascii="Roboto" w:hAnsi="Roboto"/>
        </w:rPr>
      </w:pPr>
      <w:r w:rsidRPr="007C6C48">
        <w:rPr>
          <w:rFonts w:ascii="Roboto" w:hAnsi="Roboto"/>
        </w:rPr>
        <w:t>Equilibrium constants (</w:t>
      </w:r>
      <w:r w:rsidRPr="007C6C48">
        <w:rPr>
          <w:rFonts w:ascii="Roboto" w:hAnsi="Roboto"/>
          <w:i/>
          <w:iCs/>
        </w:rPr>
        <w:t>K</w:t>
      </w:r>
      <w:r w:rsidRPr="007C6C48">
        <w:rPr>
          <w:rFonts w:ascii="Roboto" w:hAnsi="Roboto"/>
          <w:i/>
          <w:iCs/>
          <w:vertAlign w:val="subscript"/>
        </w:rPr>
        <w:t>i</w:t>
      </w:r>
      <w:r w:rsidRPr="007C6C48">
        <w:rPr>
          <w:rFonts w:ascii="Roboto" w:hAnsi="Roboto"/>
        </w:rPr>
        <w:t>) and fugacity coefficients (</w:t>
      </w:r>
      <w:r w:rsidR="005D0D30" w:rsidRPr="007C6C48">
        <w:rPr>
          <w:rFonts w:ascii="Roboto" w:hAnsi="Roboto"/>
          <w:i/>
          <w:iCs/>
          <w:color w:val="000000" w:themeColor="text1"/>
          <w:lang w:eastAsia="en-US"/>
        </w:rPr>
        <w:t>γ</w:t>
      </w:r>
      <w:r w:rsidRPr="007C6C48">
        <w:rPr>
          <w:rFonts w:ascii="Roboto" w:hAnsi="Roboto"/>
          <w:i/>
          <w:iCs/>
          <w:vertAlign w:val="subscript"/>
        </w:rPr>
        <w:t>i</w:t>
      </w:r>
      <w:r w:rsidRPr="007C6C48">
        <w:rPr>
          <w:rFonts w:ascii="Roboto" w:hAnsi="Roboto"/>
        </w:rPr>
        <w:t xml:space="preserve">) are calculated at the given </w:t>
      </w:r>
      <w:r w:rsidRPr="007C6C48">
        <w:rPr>
          <w:rFonts w:ascii="Roboto" w:hAnsi="Roboto"/>
          <w:i/>
          <w:iCs/>
        </w:rPr>
        <w:t>T</w:t>
      </w:r>
      <w:r w:rsidRPr="007C6C48">
        <w:rPr>
          <w:rFonts w:ascii="Roboto" w:hAnsi="Roboto"/>
        </w:rPr>
        <w:t xml:space="preserve"> and </w:t>
      </w:r>
      <w:r w:rsidRPr="007C6C48">
        <w:rPr>
          <w:rFonts w:ascii="Roboto" w:hAnsi="Roboto"/>
          <w:i/>
          <w:iCs/>
        </w:rPr>
        <w:t>P</w:t>
      </w:r>
      <w:r w:rsidR="005C2D66" w:rsidRPr="007C6C48">
        <w:rPr>
          <w:rFonts w:ascii="Roboto" w:hAnsi="Roboto"/>
        </w:rPr>
        <w:t>.</w:t>
      </w:r>
    </w:p>
    <w:p w14:paraId="7A7DC428" w14:textId="19BB6644"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Using </w:t>
      </w:r>
      <w:r w:rsidR="005D0D30" w:rsidRPr="007C6C48">
        <w:rPr>
          <w:rFonts w:ascii="Roboto" w:hAnsi="Roboto"/>
          <w:i/>
          <w:iCs/>
          <w:color w:val="000000" w:themeColor="text1"/>
          <w:lang w:eastAsia="en-US"/>
        </w:rPr>
        <w:t>γ</w:t>
      </w:r>
      <w:r w:rsidRPr="007C6C48">
        <w:rPr>
          <w:rFonts w:ascii="Roboto" w:hAnsi="Roboto"/>
          <w:i/>
          <w:iCs/>
          <w:vertAlign w:val="subscript"/>
        </w:rPr>
        <w:t>i</w:t>
      </w:r>
      <w:r w:rsidRPr="007C6C48">
        <w:rPr>
          <w:rFonts w:ascii="Roboto" w:hAnsi="Roboto"/>
        </w:rPr>
        <w:t xml:space="preserve"> and </w:t>
      </w:r>
      <w:r w:rsidRPr="007C6C48">
        <w:rPr>
          <w:rFonts w:ascii="Roboto" w:hAnsi="Roboto"/>
          <w:i/>
          <w:iCs/>
        </w:rPr>
        <w:t>P</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S2</w:t>
      </w:r>
      <w:r w:rsidRPr="007C6C48">
        <w:rPr>
          <w:rFonts w:ascii="Roboto" w:hAnsi="Roboto"/>
        </w:rPr>
        <w:t xml:space="preserve"> in eq. (4, 5</w:t>
      </w:r>
      <w:r w:rsidR="0015477F" w:rsidRPr="007C6C48">
        <w:rPr>
          <w:rFonts w:ascii="Roboto" w:hAnsi="Roboto"/>
        </w:rPr>
        <w:t>, 9</w:t>
      </w:r>
      <w:r w:rsidRPr="007C6C48">
        <w:rPr>
          <w:rFonts w:ascii="Roboto" w:hAnsi="Roboto"/>
        </w:rPr>
        <w:t>)</w:t>
      </w:r>
      <w:r w:rsidR="005C2D66" w:rsidRPr="007C6C48">
        <w:rPr>
          <w:rFonts w:ascii="Roboto" w:hAnsi="Roboto"/>
        </w:rPr>
        <w:t xml:space="preserve"> in the main text</w:t>
      </w:r>
      <w:r w:rsidRPr="007C6C48">
        <w:rPr>
          <w:rFonts w:ascii="Roboto" w:hAnsi="Roboto"/>
        </w:rPr>
        <w:t xml:space="preserve"> are used to calculate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CO2</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SO2</w:t>
      </w:r>
      <w:r w:rsidRPr="007C6C48">
        <w:rPr>
          <w:rFonts w:ascii="Roboto" w:hAnsi="Roboto"/>
        </w:rPr>
        <w:t xml:space="preserve">, from which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OCS</w:t>
      </w:r>
      <w:r w:rsidRPr="007C6C48">
        <w:rPr>
          <w:rFonts w:ascii="Roboto" w:hAnsi="Roboto"/>
        </w:rPr>
        <w:t xml:space="preserve"> can be calculated using eq. (8</w:t>
      </w:r>
      <w:r w:rsidR="0015477F" w:rsidRPr="007C6C48">
        <w:rPr>
          <w:rFonts w:ascii="Roboto" w:hAnsi="Roboto"/>
        </w:rPr>
        <w:t>, 9</w:t>
      </w:r>
      <w:r w:rsidRPr="007C6C48">
        <w:rPr>
          <w:rFonts w:ascii="Roboto" w:hAnsi="Roboto"/>
        </w:rPr>
        <w:t>)</w:t>
      </w:r>
      <w:r w:rsidR="005C2D66" w:rsidRPr="007C6C48">
        <w:rPr>
          <w:rFonts w:ascii="Roboto" w:hAnsi="Roboto"/>
        </w:rPr>
        <w:t xml:space="preserve"> in the main text</w:t>
      </w:r>
      <w:r w:rsidRPr="007C6C48">
        <w:rPr>
          <w:rFonts w:ascii="Roboto" w:hAnsi="Roboto"/>
        </w:rPr>
        <w:t>.</w:t>
      </w:r>
    </w:p>
    <w:p w14:paraId="45DB24CC" w14:textId="04007A1B"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Given the sum of all </w:t>
      </w:r>
      <w:r w:rsidRPr="007C6C48">
        <w:rPr>
          <w:rFonts w:ascii="Roboto" w:hAnsi="Roboto"/>
          <w:i/>
          <w:iCs/>
        </w:rPr>
        <w:t>x</w:t>
      </w:r>
      <w:r w:rsidRPr="007C6C48">
        <w:rPr>
          <w:rFonts w:ascii="Roboto" w:hAnsi="Roboto"/>
          <w:i/>
          <w:iCs/>
          <w:vertAlign w:val="superscript"/>
        </w:rPr>
        <w:t>v</w:t>
      </w:r>
      <w:r w:rsidRPr="007C6C48">
        <w:rPr>
          <w:rFonts w:ascii="Roboto" w:hAnsi="Roboto"/>
          <w:i/>
          <w:iCs/>
          <w:vertAlign w:val="subscript"/>
        </w:rPr>
        <w:t>i</w:t>
      </w:r>
      <w:r w:rsidRPr="007C6C48">
        <w:rPr>
          <w:rFonts w:ascii="Roboto" w:hAnsi="Roboto"/>
        </w:rPr>
        <w:t xml:space="preserve">’s must be one,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H2O</w:t>
      </w:r>
      <w:r w:rsidRPr="007C6C48">
        <w:rPr>
          <w:rFonts w:ascii="Roboto" w:hAnsi="Roboto"/>
        </w:rPr>
        <w:t xml:space="preserve"> can be calculated using eq. (3–</w:t>
      </w:r>
      <w:r w:rsidR="0015477F" w:rsidRPr="007C6C48">
        <w:rPr>
          <w:rFonts w:ascii="Roboto" w:hAnsi="Roboto"/>
        </w:rPr>
        <w:t>9</w:t>
      </w:r>
      <w:r w:rsidRPr="007C6C48">
        <w:rPr>
          <w:rFonts w:ascii="Roboto" w:hAnsi="Roboto"/>
        </w:rPr>
        <w:t>)</w:t>
      </w:r>
      <w:r w:rsidR="005C2D66" w:rsidRPr="007C6C48">
        <w:rPr>
          <w:rFonts w:ascii="Roboto" w:hAnsi="Roboto"/>
        </w:rPr>
        <w:t xml:space="preserve"> in the main text</w:t>
      </w:r>
      <w:r w:rsidRPr="007C6C48">
        <w:rPr>
          <w:rFonts w:ascii="Roboto" w:hAnsi="Roboto"/>
        </w:rPr>
        <w:t xml:space="preserve">, from which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H2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H2S</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CH4</w:t>
      </w:r>
      <w:r w:rsidRPr="007C6C48">
        <w:rPr>
          <w:rFonts w:ascii="Roboto" w:hAnsi="Roboto"/>
        </w:rPr>
        <w:t xml:space="preserve"> can be calculated using the same equations.</w:t>
      </w:r>
    </w:p>
    <w:p w14:paraId="031F801A" w14:textId="7212A284" w:rsidR="0016716F" w:rsidRPr="007C6C48" w:rsidRDefault="0016716F" w:rsidP="00D03159">
      <w:pPr>
        <w:pStyle w:val="ListParagraph"/>
        <w:numPr>
          <w:ilvl w:val="1"/>
          <w:numId w:val="2"/>
        </w:numPr>
        <w:jc w:val="both"/>
        <w:rPr>
          <w:rFonts w:ascii="Roboto" w:hAnsi="Roboto"/>
        </w:rPr>
      </w:pPr>
      <w:r w:rsidRPr="007C6C48">
        <w:rPr>
          <w:rFonts w:ascii="Roboto" w:hAnsi="Roboto"/>
        </w:rPr>
        <w:lastRenderedPageBreak/>
        <w:t xml:space="preserve">Using </w:t>
      </w:r>
      <w:r w:rsidR="005D0D30" w:rsidRPr="007C6C48">
        <w:rPr>
          <w:rFonts w:ascii="Roboto" w:hAnsi="Roboto"/>
          <w:i/>
          <w:iCs/>
          <w:color w:val="000000" w:themeColor="text1"/>
          <w:lang w:eastAsia="en-US"/>
        </w:rPr>
        <w:t>γ</w:t>
      </w:r>
      <w:r w:rsidRPr="007C6C48">
        <w:rPr>
          <w:rFonts w:ascii="Roboto" w:hAnsi="Roboto"/>
          <w:i/>
          <w:iCs/>
          <w:vertAlign w:val="subscript"/>
        </w:rPr>
        <w:t>i</w:t>
      </w:r>
      <w:r w:rsidRPr="007C6C48">
        <w:rPr>
          <w:rFonts w:ascii="Roboto" w:hAnsi="Roboto"/>
        </w:rPr>
        <w:t xml:space="preserve"> and </w:t>
      </w:r>
      <w:r w:rsidRPr="007C6C48">
        <w:rPr>
          <w:rFonts w:ascii="Roboto" w:hAnsi="Roboto"/>
          <w:i/>
          <w:iCs/>
        </w:rPr>
        <w:t>P</w:t>
      </w:r>
      <w:r w:rsidRPr="007C6C48">
        <w:rPr>
          <w:rFonts w:ascii="Roboto" w:hAnsi="Roboto"/>
        </w:rPr>
        <w:t xml:space="preserve"> in eq. (</w:t>
      </w:r>
      <w:r w:rsidR="0015477F" w:rsidRPr="007C6C48">
        <w:rPr>
          <w:rFonts w:ascii="Roboto" w:hAnsi="Roboto"/>
        </w:rPr>
        <w:t>9</w:t>
      </w:r>
      <w:r w:rsidRPr="007C6C48">
        <w:rPr>
          <w:rFonts w:ascii="Roboto" w:hAnsi="Roboto"/>
        </w:rPr>
        <w:t>)</w:t>
      </w:r>
      <w:r w:rsidR="005C2D66" w:rsidRPr="007C6C48">
        <w:rPr>
          <w:rFonts w:ascii="Roboto" w:hAnsi="Roboto"/>
        </w:rPr>
        <w:t xml:space="preserve"> in the main text</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 xml:space="preserve">S2 </w:t>
      </w:r>
      <w:r w:rsidRPr="007C6C48">
        <w:rPr>
          <w:rFonts w:ascii="Roboto" w:hAnsi="Roboto"/>
        </w:rPr>
        <w:t xml:space="preserve">are converted to </w:t>
      </w:r>
      <w:r w:rsidRPr="007C6C48">
        <w:rPr>
          <w:rFonts w:ascii="Roboto" w:hAnsi="Roboto"/>
          <w:i/>
          <w:iCs/>
        </w:rPr>
        <w:t>f</w:t>
      </w:r>
      <w:r w:rsidRPr="007C6C48">
        <w:rPr>
          <w:rFonts w:ascii="Roboto" w:hAnsi="Roboto"/>
          <w:vertAlign w:val="subscript"/>
        </w:rPr>
        <w:t>O2</w:t>
      </w:r>
      <w:r w:rsidRPr="007C6C48">
        <w:rPr>
          <w:rFonts w:ascii="Roboto" w:hAnsi="Roboto"/>
        </w:rPr>
        <w:t xml:space="preserve">, </w:t>
      </w:r>
      <w:r w:rsidRPr="007C6C48">
        <w:rPr>
          <w:rFonts w:ascii="Roboto" w:hAnsi="Roboto"/>
          <w:i/>
          <w:iCs/>
        </w:rPr>
        <w:t>f</w:t>
      </w:r>
      <w:r w:rsidRPr="007C6C48">
        <w:rPr>
          <w:rFonts w:ascii="Roboto" w:hAnsi="Roboto"/>
          <w:vertAlign w:val="subscript"/>
        </w:rPr>
        <w:t>CO</w:t>
      </w:r>
      <w:r w:rsidRPr="007C6C48">
        <w:rPr>
          <w:rFonts w:ascii="Roboto" w:hAnsi="Roboto"/>
        </w:rPr>
        <w:t xml:space="preserve">, and </w:t>
      </w:r>
      <w:r w:rsidRPr="007C6C48">
        <w:rPr>
          <w:rFonts w:ascii="Roboto" w:hAnsi="Roboto"/>
          <w:i/>
          <w:iCs/>
        </w:rPr>
        <w:t>f</w:t>
      </w:r>
      <w:r w:rsidRPr="007C6C48">
        <w:rPr>
          <w:rFonts w:ascii="Roboto" w:hAnsi="Roboto"/>
          <w:vertAlign w:val="subscript"/>
        </w:rPr>
        <w:t>S2</w:t>
      </w:r>
      <w:r w:rsidRPr="007C6C48">
        <w:rPr>
          <w:rFonts w:ascii="Roboto" w:hAnsi="Roboto"/>
        </w:rPr>
        <w:t>.</w:t>
      </w:r>
    </w:p>
    <w:p w14:paraId="6A821EB0"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i/>
          <w:iCs/>
        </w:rPr>
        <w:t>w</w:t>
      </w:r>
      <w:r w:rsidRPr="007C6C48">
        <w:rPr>
          <w:rFonts w:ascii="Roboto" w:hAnsi="Roboto"/>
          <w:i/>
          <w:iCs/>
          <w:vertAlign w:val="superscript"/>
        </w:rPr>
        <w:t>m</w:t>
      </w:r>
      <w:r w:rsidRPr="007C6C48">
        <w:rPr>
          <w:rFonts w:ascii="Roboto" w:hAnsi="Roboto"/>
          <w:i/>
          <w:iCs/>
          <w:vertAlign w:val="subscript"/>
        </w:rPr>
        <w:t>i</w:t>
      </w:r>
      <w:r w:rsidRPr="007C6C48">
        <w:rPr>
          <w:rFonts w:ascii="Roboto" w:hAnsi="Roboto"/>
        </w:rPr>
        <w:t>’s are calculated:</w:t>
      </w:r>
    </w:p>
    <w:p w14:paraId="1CE03D74" w14:textId="4FF18D79" w:rsidR="0016716F" w:rsidRPr="007C6C48" w:rsidRDefault="0016716F" w:rsidP="00D03159">
      <w:pPr>
        <w:pStyle w:val="ListParagraph"/>
        <w:numPr>
          <w:ilvl w:val="1"/>
          <w:numId w:val="2"/>
        </w:numPr>
        <w:jc w:val="both"/>
        <w:rPr>
          <w:rFonts w:ascii="Roboto" w:hAnsi="Roboto"/>
        </w:rPr>
      </w:pPr>
      <w:r w:rsidRPr="007C6C48">
        <w:rPr>
          <w:rFonts w:ascii="Roboto" w:hAnsi="Roboto"/>
        </w:rPr>
        <w:t>Solubility (</w:t>
      </w:r>
      <w:r w:rsidRPr="007C6C48">
        <w:rPr>
          <w:rFonts w:ascii="Roboto" w:hAnsi="Roboto"/>
          <w:i/>
          <w:iCs/>
        </w:rPr>
        <w:t>C</w:t>
      </w:r>
      <w:r w:rsidRPr="007C6C48">
        <w:rPr>
          <w:rFonts w:ascii="Roboto" w:hAnsi="Roboto"/>
          <w:i/>
          <w:iCs/>
          <w:vertAlign w:val="subscript"/>
        </w:rPr>
        <w:t>i</w:t>
      </w:r>
      <w:r w:rsidRPr="007C6C48">
        <w:rPr>
          <w:rFonts w:ascii="Roboto" w:hAnsi="Roboto"/>
        </w:rPr>
        <w:t>) and equilibrium, (</w:t>
      </w:r>
      <w:r w:rsidRPr="007C6C48">
        <w:rPr>
          <w:rFonts w:ascii="Roboto" w:hAnsi="Roboto"/>
          <w:i/>
          <w:iCs/>
        </w:rPr>
        <w:t>K</w:t>
      </w:r>
      <w:r w:rsidRPr="007C6C48">
        <w:rPr>
          <w:rFonts w:ascii="Roboto" w:hAnsi="Roboto"/>
          <w:i/>
          <w:iCs/>
          <w:vertAlign w:val="subscript"/>
        </w:rPr>
        <w:t>i</w:t>
      </w:r>
      <w:r w:rsidRPr="007C6C48">
        <w:rPr>
          <w:rFonts w:ascii="Roboto" w:hAnsi="Roboto"/>
        </w:rPr>
        <w:t xml:space="preserve">) </w:t>
      </w:r>
      <w:r w:rsidR="005F59D0" w:rsidRPr="007C6C48">
        <w:rPr>
          <w:rFonts w:ascii="Roboto" w:hAnsi="Roboto"/>
        </w:rPr>
        <w:t xml:space="preserve">functions </w:t>
      </w:r>
      <w:r w:rsidRPr="007C6C48">
        <w:rPr>
          <w:rFonts w:ascii="Roboto" w:hAnsi="Roboto"/>
        </w:rPr>
        <w:t xml:space="preserve">are calculated at the given </w:t>
      </w:r>
      <w:r w:rsidRPr="007C6C48">
        <w:rPr>
          <w:rFonts w:ascii="Roboto" w:hAnsi="Roboto"/>
          <w:i/>
          <w:iCs/>
        </w:rPr>
        <w:t>T</w:t>
      </w:r>
      <w:r w:rsidRPr="007C6C48">
        <w:rPr>
          <w:rFonts w:ascii="Roboto" w:hAnsi="Roboto"/>
        </w:rPr>
        <w:t xml:space="preserve">, </w:t>
      </w:r>
      <w:r w:rsidRPr="007C6C48">
        <w:rPr>
          <w:rFonts w:ascii="Roboto" w:hAnsi="Roboto"/>
          <w:i/>
          <w:iCs/>
        </w:rPr>
        <w:t>P</w:t>
      </w:r>
      <w:r w:rsidRPr="007C6C48">
        <w:rPr>
          <w:rFonts w:ascii="Roboto" w:hAnsi="Roboto"/>
        </w:rPr>
        <w:t>, and melt composition</w:t>
      </w:r>
      <w:r w:rsidR="005C2D66" w:rsidRPr="007C6C48">
        <w:rPr>
          <w:rFonts w:ascii="Roboto" w:hAnsi="Roboto"/>
        </w:rPr>
        <w:t xml:space="preserve">. </w:t>
      </w:r>
      <w:r w:rsidR="005C2D66" w:rsidRPr="007C6C48">
        <w:rPr>
          <w:rFonts w:ascii="Roboto" w:hAnsi="Roboto"/>
          <w:i/>
          <w:iCs/>
        </w:rPr>
        <w:t>Note</w:t>
      </w:r>
      <w:r w:rsidR="005C2D66" w:rsidRPr="007C6C48">
        <w:rPr>
          <w:rFonts w:ascii="Roboto" w:hAnsi="Roboto"/>
        </w:rPr>
        <w:t xml:space="preserve">: if </w:t>
      </w:r>
      <w:r w:rsidR="005C2D66" w:rsidRPr="007C6C48">
        <w:rPr>
          <w:rFonts w:ascii="Roboto" w:hAnsi="Roboto"/>
          <w:i/>
          <w:iCs/>
        </w:rPr>
        <w:t>C</w:t>
      </w:r>
      <w:r w:rsidR="005C2D66" w:rsidRPr="007C6C48">
        <w:rPr>
          <w:rFonts w:ascii="Roboto" w:hAnsi="Roboto"/>
          <w:i/>
          <w:iCs/>
          <w:vertAlign w:val="subscript"/>
        </w:rPr>
        <w:t>i</w:t>
      </w:r>
      <w:r w:rsidR="005C2D66" w:rsidRPr="007C6C48">
        <w:rPr>
          <w:rFonts w:ascii="Roboto" w:hAnsi="Roboto"/>
        </w:rPr>
        <w:t xml:space="preserve"> depends on a melt component that is influenced by the iterative calculation – e.g., H</w:t>
      </w:r>
      <w:r w:rsidR="005C2D66" w:rsidRPr="007C6C48">
        <w:rPr>
          <w:rFonts w:ascii="Roboto" w:hAnsi="Roboto"/>
          <w:vertAlign w:val="subscript"/>
        </w:rPr>
        <w:t>2</w:t>
      </w:r>
      <w:r w:rsidR="005C2D66" w:rsidRPr="007C6C48">
        <w:rPr>
          <w:rFonts w:ascii="Roboto" w:hAnsi="Roboto"/>
        </w:rPr>
        <w:t>O or Fe</w:t>
      </w:r>
      <w:r w:rsidR="005C2D66" w:rsidRPr="007C6C48">
        <w:rPr>
          <w:rFonts w:ascii="Roboto" w:hAnsi="Roboto"/>
          <w:vertAlign w:val="superscript"/>
        </w:rPr>
        <w:t>3+</w:t>
      </w:r>
      <w:r w:rsidR="005C2D66" w:rsidRPr="007C6C48">
        <w:rPr>
          <w:rFonts w:ascii="Roboto" w:hAnsi="Roboto"/>
        </w:rPr>
        <w:t>/Fe</w:t>
      </w:r>
      <w:r w:rsidR="005C2D66" w:rsidRPr="007C6C48">
        <w:rPr>
          <w:rFonts w:ascii="Roboto" w:hAnsi="Roboto"/>
          <w:vertAlign w:val="subscript"/>
        </w:rPr>
        <w:t>T</w:t>
      </w:r>
      <w:r w:rsidR="005C2D66" w:rsidRPr="007C6C48">
        <w:rPr>
          <w:rFonts w:ascii="Roboto" w:hAnsi="Roboto"/>
        </w:rPr>
        <w:t xml:space="preserve"> – this will use the value from the previous </w:t>
      </w:r>
      <w:r w:rsidR="005C2D66" w:rsidRPr="007C6C48">
        <w:rPr>
          <w:rFonts w:ascii="Roboto" w:hAnsi="Roboto"/>
          <w:i/>
          <w:iCs/>
        </w:rPr>
        <w:t>P</w:t>
      </w:r>
      <w:r w:rsidR="005C2D66" w:rsidRPr="007C6C48">
        <w:rPr>
          <w:rFonts w:ascii="Roboto" w:hAnsi="Roboto"/>
        </w:rPr>
        <w:t xml:space="preserve"> step and is currently not updated during the iterative calculation. Melt compositions changes are typically small between consecutive </w:t>
      </w:r>
      <w:r w:rsidR="005C2D66" w:rsidRPr="007C6C48">
        <w:rPr>
          <w:rFonts w:ascii="Roboto" w:hAnsi="Roboto"/>
          <w:i/>
          <w:iCs/>
        </w:rPr>
        <w:t>P</w:t>
      </w:r>
      <w:r w:rsidR="005C2D66" w:rsidRPr="007C6C48">
        <w:rPr>
          <w:rFonts w:ascii="Roboto" w:hAnsi="Roboto"/>
        </w:rPr>
        <w:t xml:space="preserve"> steps; hence, this is unlikely to cause large errors</w:t>
      </w:r>
      <w:r w:rsidRPr="007C6C48">
        <w:rPr>
          <w:rFonts w:ascii="Roboto" w:hAnsi="Roboto"/>
        </w:rPr>
        <w:t>.</w:t>
      </w:r>
    </w:p>
    <w:p w14:paraId="61A24AC1" w14:textId="00CD4DFA"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All </w:t>
      </w:r>
      <w:r w:rsidRPr="007C6C48">
        <w:rPr>
          <w:rFonts w:ascii="Roboto" w:hAnsi="Roboto"/>
          <w:i/>
          <w:iCs/>
        </w:rPr>
        <w:t>x</w:t>
      </w:r>
      <w:r w:rsidRPr="007C6C48">
        <w:rPr>
          <w:rFonts w:ascii="Roboto" w:hAnsi="Roboto"/>
          <w:i/>
          <w:iCs/>
          <w:vertAlign w:val="superscript"/>
        </w:rPr>
        <w:t>v</w:t>
      </w:r>
      <w:r w:rsidRPr="007C6C48">
        <w:rPr>
          <w:rFonts w:ascii="Roboto" w:hAnsi="Roboto"/>
          <w:i/>
          <w:iCs/>
          <w:vertAlign w:val="subscript"/>
        </w:rPr>
        <w:t>i</w:t>
      </w:r>
      <w:r w:rsidRPr="007C6C48">
        <w:rPr>
          <w:rFonts w:ascii="Roboto" w:hAnsi="Roboto"/>
        </w:rPr>
        <w:t xml:space="preserve">’s are converted to </w:t>
      </w:r>
      <w:r w:rsidRPr="007C6C48">
        <w:rPr>
          <w:rFonts w:ascii="Roboto" w:hAnsi="Roboto"/>
          <w:i/>
          <w:iCs/>
        </w:rPr>
        <w:t>f</w:t>
      </w:r>
      <w:r w:rsidRPr="007C6C48">
        <w:rPr>
          <w:rFonts w:ascii="Roboto" w:hAnsi="Roboto"/>
          <w:i/>
          <w:iCs/>
          <w:vertAlign w:val="subscript"/>
        </w:rPr>
        <w:t>i</w:t>
      </w:r>
      <w:r w:rsidRPr="007C6C48">
        <w:rPr>
          <w:rFonts w:ascii="Roboto" w:hAnsi="Roboto"/>
        </w:rPr>
        <w:t>’s using eq. (</w:t>
      </w:r>
      <w:r w:rsidR="0015477F" w:rsidRPr="007C6C48">
        <w:rPr>
          <w:rFonts w:ascii="Roboto" w:hAnsi="Roboto"/>
        </w:rPr>
        <w:t>9</w:t>
      </w:r>
      <w:r w:rsidRPr="007C6C48">
        <w:rPr>
          <w:rFonts w:ascii="Roboto" w:hAnsi="Roboto"/>
        </w:rPr>
        <w:t>)</w:t>
      </w:r>
      <w:r w:rsidR="00704447" w:rsidRPr="007C6C48">
        <w:rPr>
          <w:rFonts w:ascii="Roboto" w:hAnsi="Roboto"/>
        </w:rPr>
        <w:t xml:space="preserve"> in the main text</w:t>
      </w:r>
      <w:r w:rsidRPr="007C6C48">
        <w:rPr>
          <w:rFonts w:ascii="Roboto" w:hAnsi="Roboto"/>
        </w:rPr>
        <w:t>.</w:t>
      </w:r>
    </w:p>
    <w:p w14:paraId="2A1AB01F" w14:textId="13BBF32E"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Each </w:t>
      </w:r>
      <w:r w:rsidRPr="007C6C48">
        <w:rPr>
          <w:rFonts w:ascii="Roboto" w:hAnsi="Roboto"/>
          <w:i/>
          <w:iCs/>
        </w:rPr>
        <w:t>w</w:t>
      </w:r>
      <w:r w:rsidRPr="007C6C48">
        <w:rPr>
          <w:rFonts w:ascii="Roboto" w:hAnsi="Roboto"/>
          <w:i/>
          <w:iCs/>
          <w:vertAlign w:val="superscript"/>
        </w:rPr>
        <w:t>m</w:t>
      </w:r>
      <w:r w:rsidRPr="007C6C48">
        <w:rPr>
          <w:rFonts w:ascii="Roboto" w:hAnsi="Roboto"/>
          <w:i/>
          <w:iCs/>
          <w:vertAlign w:val="subscript"/>
        </w:rPr>
        <w:t>i</w:t>
      </w:r>
      <w:r w:rsidRPr="007C6C48">
        <w:rPr>
          <w:rFonts w:ascii="Roboto" w:hAnsi="Roboto"/>
        </w:rPr>
        <w:t>’s is calculated from the appropriate equation in eq. (</w:t>
      </w:r>
      <w:r w:rsidR="0015477F" w:rsidRPr="007C6C48">
        <w:rPr>
          <w:rFonts w:ascii="Roboto" w:hAnsi="Roboto"/>
        </w:rPr>
        <w:t>1</w:t>
      </w:r>
      <w:r w:rsidR="009610B9" w:rsidRPr="007C6C48">
        <w:rPr>
          <w:rFonts w:ascii="Roboto" w:hAnsi="Roboto"/>
        </w:rPr>
        <w:t>1</w:t>
      </w:r>
      <w:r w:rsidRPr="007C6C48">
        <w:rPr>
          <w:rFonts w:ascii="Roboto" w:hAnsi="Roboto"/>
        </w:rPr>
        <w:t>–</w:t>
      </w:r>
      <w:r w:rsidR="0015477F" w:rsidRPr="007C6C48">
        <w:rPr>
          <w:rFonts w:ascii="Roboto" w:hAnsi="Roboto"/>
        </w:rPr>
        <w:t>20</w:t>
      </w:r>
      <w:r w:rsidRPr="007C6C48">
        <w:rPr>
          <w:rFonts w:ascii="Roboto" w:hAnsi="Roboto"/>
        </w:rPr>
        <w:t>)</w:t>
      </w:r>
      <w:r w:rsidR="00704447" w:rsidRPr="007C6C48">
        <w:rPr>
          <w:rFonts w:ascii="Roboto" w:hAnsi="Roboto"/>
        </w:rPr>
        <w:t xml:space="preserve"> in the main text</w:t>
      </w:r>
      <w:r w:rsidRPr="007C6C48">
        <w:rPr>
          <w:rFonts w:ascii="Roboto" w:hAnsi="Roboto"/>
        </w:rPr>
        <w:t>.</w:t>
      </w:r>
    </w:p>
    <w:p w14:paraId="5CE35F37" w14:textId="2C6CF571" w:rsidR="0016716F" w:rsidRPr="007C6C48" w:rsidRDefault="0016716F" w:rsidP="00D03159">
      <w:pPr>
        <w:pStyle w:val="ListParagraph"/>
        <w:numPr>
          <w:ilvl w:val="1"/>
          <w:numId w:val="2"/>
        </w:numPr>
        <w:jc w:val="both"/>
        <w:rPr>
          <w:rFonts w:ascii="Roboto" w:hAnsi="Roboto"/>
        </w:rPr>
      </w:pPr>
      <w:r w:rsidRPr="007C6C48">
        <w:rPr>
          <w:rFonts w:ascii="Roboto" w:hAnsi="Roboto"/>
        </w:rPr>
        <w:t>Fe</w:t>
      </w:r>
      <w:r w:rsidRPr="007C6C48">
        <w:rPr>
          <w:rFonts w:ascii="Roboto" w:hAnsi="Roboto"/>
          <w:vertAlign w:val="superscript"/>
        </w:rPr>
        <w:t>3+</w:t>
      </w:r>
      <w:r w:rsidRPr="007C6C48">
        <w:rPr>
          <w:rFonts w:ascii="Roboto" w:hAnsi="Roboto"/>
        </w:rPr>
        <w:t>/Fe</w:t>
      </w:r>
      <w:r w:rsidRPr="007C6C48">
        <w:rPr>
          <w:rFonts w:ascii="Roboto" w:hAnsi="Roboto"/>
          <w:vertAlign w:val="subscript"/>
        </w:rPr>
        <w:t>T</w:t>
      </w:r>
      <w:r w:rsidRPr="007C6C48">
        <w:rPr>
          <w:rFonts w:ascii="Roboto" w:hAnsi="Roboto"/>
        </w:rPr>
        <w:t xml:space="preserve"> is calculated</w:t>
      </w:r>
      <w:r w:rsidR="00704447" w:rsidRPr="007C6C48">
        <w:rPr>
          <w:rFonts w:ascii="Roboto" w:hAnsi="Roboto"/>
        </w:rPr>
        <w:t xml:space="preserve"> from </w:t>
      </w:r>
      <w:r w:rsidR="00704447" w:rsidRPr="007C6C48">
        <w:rPr>
          <w:rFonts w:ascii="Roboto" w:hAnsi="Roboto"/>
          <w:i/>
          <w:iCs/>
        </w:rPr>
        <w:t>f</w:t>
      </w:r>
      <w:r w:rsidR="00704447" w:rsidRPr="007C6C48">
        <w:rPr>
          <w:rFonts w:ascii="Roboto" w:hAnsi="Roboto"/>
          <w:vertAlign w:val="subscript"/>
        </w:rPr>
        <w:t>O2</w:t>
      </w:r>
      <w:r w:rsidR="009610B9" w:rsidRPr="007C6C48">
        <w:rPr>
          <w:rFonts w:ascii="Roboto" w:hAnsi="Roboto"/>
        </w:rPr>
        <w:t xml:space="preserve"> using eq. (21) in the main text.</w:t>
      </w:r>
    </w:p>
    <w:p w14:paraId="19C8A589" w14:textId="77777777" w:rsidR="0016716F" w:rsidRPr="007C6C48" w:rsidRDefault="0016716F" w:rsidP="00D03159">
      <w:pPr>
        <w:pStyle w:val="ListParagraph"/>
        <w:numPr>
          <w:ilvl w:val="0"/>
          <w:numId w:val="2"/>
        </w:numPr>
        <w:jc w:val="both"/>
        <w:rPr>
          <w:rFonts w:ascii="Roboto" w:hAnsi="Roboto"/>
        </w:rPr>
      </w:pPr>
      <w:r w:rsidRPr="007C6C48">
        <w:rPr>
          <w:rFonts w:ascii="Roboto" w:hAnsi="Roboto"/>
        </w:rPr>
        <w:t>Iteration to find solution:</w:t>
      </w:r>
    </w:p>
    <w:p w14:paraId="41834978" w14:textId="4AC423E9"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Weight fraction of </w:t>
      </w:r>
      <w:r w:rsidR="005D0D30" w:rsidRPr="007C6C48">
        <w:rPr>
          <w:rFonts w:ascii="Roboto" w:hAnsi="Roboto"/>
        </w:rPr>
        <w:t xml:space="preserve">vapor </w:t>
      </w:r>
      <w:r w:rsidRPr="007C6C48">
        <w:rPr>
          <w:rFonts w:ascii="Roboto" w:hAnsi="Roboto"/>
        </w:rPr>
        <w:t>(</w:t>
      </w:r>
      <w:r w:rsidRPr="007C6C48">
        <w:rPr>
          <w:rFonts w:ascii="Roboto" w:hAnsi="Roboto"/>
          <w:i/>
          <w:iCs/>
        </w:rPr>
        <w:t>w</w:t>
      </w:r>
      <w:r w:rsidRPr="007C6C48">
        <w:rPr>
          <w:rFonts w:ascii="Roboto" w:hAnsi="Roboto"/>
          <w:i/>
          <w:iCs/>
          <w:vertAlign w:val="superscript"/>
        </w:rPr>
        <w:t>T</w:t>
      </w:r>
      <w:r w:rsidR="005D0D30" w:rsidRPr="007C6C48">
        <w:rPr>
          <w:rFonts w:ascii="Roboto" w:hAnsi="Roboto"/>
          <w:i/>
          <w:iCs/>
          <w:vertAlign w:val="subscript"/>
        </w:rPr>
        <w:t>v</w:t>
      </w:r>
      <w:r w:rsidRPr="007C6C48">
        <w:rPr>
          <w:rFonts w:ascii="Roboto" w:hAnsi="Roboto"/>
        </w:rPr>
        <w:t>) implied for each volatile (i.e., C, H, O, and S) is calculated from eq. (</w:t>
      </w:r>
      <w:r w:rsidR="00704447" w:rsidRPr="007C6C48">
        <w:rPr>
          <w:rFonts w:ascii="Roboto" w:hAnsi="Roboto"/>
        </w:rPr>
        <w:t>2</w:t>
      </w:r>
      <w:r w:rsidR="0015477F" w:rsidRPr="007C6C48">
        <w:rPr>
          <w:rFonts w:ascii="Roboto" w:hAnsi="Roboto"/>
        </w:rPr>
        <w:t>2</w:t>
      </w:r>
      <w:r w:rsidRPr="007C6C48">
        <w:rPr>
          <w:rFonts w:ascii="Roboto" w:hAnsi="Roboto"/>
        </w:rPr>
        <w:t>)</w:t>
      </w:r>
      <w:r w:rsidR="00704447" w:rsidRPr="007C6C48">
        <w:rPr>
          <w:rFonts w:ascii="Roboto" w:hAnsi="Roboto"/>
        </w:rPr>
        <w:t xml:space="preserve"> in the main text</w:t>
      </w:r>
      <w:r w:rsidRPr="007C6C48">
        <w:rPr>
          <w:rFonts w:ascii="Roboto" w:hAnsi="Roboto"/>
        </w:rPr>
        <w:t xml:space="preserve"> using </w:t>
      </w:r>
      <w:r w:rsidRPr="007C6C48">
        <w:rPr>
          <w:rFonts w:ascii="Roboto" w:hAnsi="Roboto"/>
          <w:i/>
          <w:iCs/>
        </w:rPr>
        <w:t>x</w:t>
      </w:r>
      <w:r w:rsidRPr="007C6C48">
        <w:rPr>
          <w:rFonts w:ascii="Roboto" w:hAnsi="Roboto"/>
          <w:i/>
          <w:iCs/>
          <w:vertAlign w:val="superscript"/>
        </w:rPr>
        <w:t>v</w:t>
      </w:r>
      <w:r w:rsidRPr="007C6C48">
        <w:rPr>
          <w:rFonts w:ascii="Roboto" w:hAnsi="Roboto"/>
          <w:i/>
          <w:iCs/>
          <w:vertAlign w:val="subscript"/>
        </w:rPr>
        <w:t>i</w:t>
      </w:r>
      <w:r w:rsidRPr="007C6C48">
        <w:rPr>
          <w:rFonts w:ascii="Roboto" w:hAnsi="Roboto"/>
        </w:rPr>
        <w:t xml:space="preserve">’s and </w:t>
      </w:r>
      <w:r w:rsidRPr="007C6C48">
        <w:rPr>
          <w:rFonts w:ascii="Roboto" w:hAnsi="Roboto"/>
          <w:i/>
          <w:iCs/>
        </w:rPr>
        <w:t>w</w:t>
      </w:r>
      <w:r w:rsidRPr="007C6C48">
        <w:rPr>
          <w:rFonts w:ascii="Roboto" w:hAnsi="Roboto"/>
          <w:i/>
          <w:iCs/>
          <w:vertAlign w:val="superscript"/>
        </w:rPr>
        <w:t>m</w:t>
      </w:r>
      <w:r w:rsidRPr="007C6C48">
        <w:rPr>
          <w:rFonts w:ascii="Roboto" w:hAnsi="Roboto"/>
          <w:i/>
          <w:iCs/>
          <w:vertAlign w:val="subscript"/>
        </w:rPr>
        <w:t>i</w:t>
      </w:r>
      <w:r w:rsidRPr="007C6C48">
        <w:rPr>
          <w:rFonts w:ascii="Roboto" w:hAnsi="Roboto"/>
        </w:rPr>
        <w:t>.</w:t>
      </w:r>
    </w:p>
    <w:p w14:paraId="64A64C1F" w14:textId="61A2714B"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Difference between </w:t>
      </w:r>
      <w:r w:rsidRPr="007C6C48">
        <w:rPr>
          <w:rFonts w:ascii="Roboto" w:hAnsi="Roboto"/>
          <w:i/>
          <w:iCs/>
        </w:rPr>
        <w:t>w</w:t>
      </w:r>
      <w:r w:rsidRPr="007C6C48">
        <w:rPr>
          <w:rFonts w:ascii="Roboto" w:hAnsi="Roboto"/>
          <w:i/>
          <w:iCs/>
          <w:vertAlign w:val="superscript"/>
        </w:rPr>
        <w:t>T</w:t>
      </w:r>
      <w:r w:rsidR="005D0D30" w:rsidRPr="007C6C48">
        <w:rPr>
          <w:rFonts w:ascii="Roboto" w:hAnsi="Roboto"/>
          <w:i/>
          <w:iCs/>
          <w:vertAlign w:val="subscript"/>
        </w:rPr>
        <w:t>v</w:t>
      </w:r>
      <w:r w:rsidRPr="007C6C48">
        <w:rPr>
          <w:rFonts w:ascii="Roboto" w:hAnsi="Roboto"/>
        </w:rPr>
        <w:t xml:space="preserve"> based on C and each other volatile (i.e., H, O, and S) is calculated. If the difference is below the specified tolerance, the solution has been found.</w:t>
      </w:r>
    </w:p>
    <w:p w14:paraId="5AC31EB2" w14:textId="0447D96C"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If the solution has not been found, new guesses for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S2</w:t>
      </w:r>
      <w:r w:rsidRPr="007C6C48">
        <w:rPr>
          <w:rFonts w:ascii="Roboto" w:hAnsi="Roboto"/>
        </w:rPr>
        <w:t xml:space="preserve"> are created using a Newton Raphson/Jacobian Matrix approach</w:t>
      </w:r>
      <w:r w:rsidR="001A1A9B" w:rsidRPr="007C6C48">
        <w:rPr>
          <w:rFonts w:ascii="Roboto" w:hAnsi="Roboto"/>
        </w:rPr>
        <w:t xml:space="preserve"> (a Jupyter Notebook for deriving the differential equations used in the solver is available in the GitHub repository)</w:t>
      </w:r>
      <w:r w:rsidRPr="007C6C48">
        <w:rPr>
          <w:rFonts w:ascii="Roboto" w:hAnsi="Roboto"/>
        </w:rPr>
        <w:t>, and steps 5–7 are repeated.</w:t>
      </w:r>
    </w:p>
    <w:p w14:paraId="0A7D7FEA" w14:textId="6BADCC1A" w:rsidR="0016716F" w:rsidRPr="007C6C48" w:rsidRDefault="0016716F" w:rsidP="00D03159">
      <w:pPr>
        <w:pStyle w:val="ListParagraph"/>
        <w:numPr>
          <w:ilvl w:val="1"/>
          <w:numId w:val="2"/>
        </w:numPr>
        <w:jc w:val="both"/>
        <w:rPr>
          <w:rFonts w:ascii="Roboto" w:hAnsi="Roboto"/>
        </w:rPr>
      </w:pPr>
      <w:r w:rsidRPr="007C6C48">
        <w:rPr>
          <w:rFonts w:ascii="Roboto" w:hAnsi="Roboto"/>
        </w:rPr>
        <w:t xml:space="preserve">If a solution cannot be found after </w:t>
      </w:r>
      <w:r w:rsidR="009610B9" w:rsidRPr="007C6C48">
        <w:rPr>
          <w:rFonts w:ascii="Roboto" w:hAnsi="Roboto"/>
        </w:rPr>
        <w:t xml:space="preserve">50 </w:t>
      </w:r>
      <w:r w:rsidRPr="007C6C48">
        <w:rPr>
          <w:rFonts w:ascii="Roboto" w:hAnsi="Roboto"/>
        </w:rPr>
        <w:t xml:space="preserve">iterations, the Newton Raphson step size is reduced by a factor of ten. If a solution still cannot be found, the guessed species are switched to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H2</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S2</w:t>
      </w:r>
      <w:r w:rsidRPr="007C6C48">
        <w:rPr>
          <w:rFonts w:ascii="Roboto" w:hAnsi="Roboto"/>
        </w:rPr>
        <w:t xml:space="preserve"> or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O2</w:t>
      </w:r>
      <w:r w:rsidRPr="007C6C48">
        <w:rPr>
          <w:rFonts w:ascii="Roboto" w:hAnsi="Roboto"/>
        </w:rPr>
        <w:t xml:space="preserve">,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CO</w:t>
      </w:r>
      <w:r w:rsidRPr="007C6C48">
        <w:rPr>
          <w:rFonts w:ascii="Roboto" w:hAnsi="Roboto"/>
        </w:rPr>
        <w:t xml:space="preserve">, and </w:t>
      </w:r>
      <w:r w:rsidRPr="007C6C48">
        <w:rPr>
          <w:rFonts w:ascii="Roboto" w:hAnsi="Roboto"/>
          <w:i/>
          <w:iCs/>
        </w:rPr>
        <w:t>x</w:t>
      </w:r>
      <w:r w:rsidRPr="007C6C48">
        <w:rPr>
          <w:rFonts w:ascii="Roboto" w:hAnsi="Roboto"/>
          <w:i/>
          <w:iCs/>
          <w:vertAlign w:val="superscript"/>
        </w:rPr>
        <w:t>v</w:t>
      </w:r>
      <w:r w:rsidRPr="007C6C48">
        <w:rPr>
          <w:rFonts w:ascii="Roboto" w:hAnsi="Roboto"/>
          <w:vertAlign w:val="subscript"/>
        </w:rPr>
        <w:t>H2</w:t>
      </w:r>
      <w:r w:rsidRPr="007C6C48">
        <w:rPr>
          <w:rFonts w:ascii="Roboto" w:hAnsi="Roboto"/>
        </w:rPr>
        <w:t xml:space="preserve">. If a solution still cannot be found, </w:t>
      </w:r>
      <w:r w:rsidR="005F59D0" w:rsidRPr="007C6C48">
        <w:rPr>
          <w:rFonts w:ascii="Roboto" w:hAnsi="Roboto"/>
        </w:rPr>
        <w:t xml:space="preserve">a different pressure step is tried. Eventually, </w:t>
      </w:r>
      <w:r w:rsidRPr="007C6C48">
        <w:rPr>
          <w:rFonts w:ascii="Roboto" w:hAnsi="Roboto"/>
        </w:rPr>
        <w:t>the calculation is terminated</w:t>
      </w:r>
      <w:r w:rsidR="005D0D30" w:rsidRPr="007C6C48">
        <w:rPr>
          <w:rFonts w:ascii="Roboto" w:hAnsi="Roboto"/>
        </w:rPr>
        <w:t>.</w:t>
      </w:r>
    </w:p>
    <w:p w14:paraId="0BA0E10B" w14:textId="6898BB99" w:rsidR="0016716F" w:rsidRPr="007C6C48" w:rsidRDefault="0016716F" w:rsidP="00D03159">
      <w:pPr>
        <w:pStyle w:val="ListParagraph"/>
        <w:numPr>
          <w:ilvl w:val="0"/>
          <w:numId w:val="2"/>
        </w:numPr>
        <w:jc w:val="both"/>
        <w:rPr>
          <w:rFonts w:ascii="Roboto" w:hAnsi="Roboto"/>
        </w:rPr>
      </w:pPr>
      <w:r w:rsidRPr="007C6C48">
        <w:rPr>
          <w:rFonts w:ascii="Roboto" w:hAnsi="Roboto"/>
        </w:rPr>
        <w:t>Once</w:t>
      </w:r>
      <w:r w:rsidR="005F59D0" w:rsidRPr="007C6C48">
        <w:rPr>
          <w:rFonts w:ascii="Roboto" w:hAnsi="Roboto"/>
        </w:rPr>
        <w:t xml:space="preserve"> the</w:t>
      </w:r>
      <w:r w:rsidRPr="007C6C48">
        <w:rPr>
          <w:rFonts w:ascii="Roboto" w:hAnsi="Roboto"/>
        </w:rPr>
        <w:t xml:space="preserve"> solution has been found, melt and vapor composition and proportions are calculated. Return to step 4 until final </w:t>
      </w:r>
      <w:r w:rsidRPr="007C6C48">
        <w:rPr>
          <w:rFonts w:ascii="Roboto" w:hAnsi="Roboto"/>
          <w:i/>
          <w:iCs/>
        </w:rPr>
        <w:t>P</w:t>
      </w:r>
      <w:r w:rsidRPr="007C6C48">
        <w:rPr>
          <w:rFonts w:ascii="Roboto" w:hAnsi="Roboto"/>
        </w:rPr>
        <w:t xml:space="preserve"> is reached.</w:t>
      </w:r>
    </w:p>
    <w:p w14:paraId="7F361009" w14:textId="293E0C4A" w:rsidR="000229A8" w:rsidRPr="007C6C48" w:rsidRDefault="00412E7F" w:rsidP="00412E7F">
      <w:pPr>
        <w:jc w:val="both"/>
        <w:rPr>
          <w:rFonts w:ascii="Roboto" w:hAnsi="Roboto"/>
          <w:lang w:eastAsia="en-US"/>
        </w:rPr>
      </w:pPr>
      <w:bookmarkStart w:id="16" w:name="_Hlk199096536"/>
      <w:r w:rsidRPr="007C6C48">
        <w:rPr>
          <w:rFonts w:ascii="Roboto" w:hAnsi="Roboto"/>
          <w:lang w:eastAsia="en-US"/>
        </w:rPr>
        <w:t xml:space="preserve">Numerical convergence performs well because the value of the mole fraction of three independent species in the vapor phase </w:t>
      </w:r>
      <w:proofErr w:type="gramStart"/>
      <w:r w:rsidRPr="007C6C48">
        <w:rPr>
          <w:rFonts w:ascii="Roboto" w:hAnsi="Roboto"/>
          <w:lang w:eastAsia="en-US"/>
        </w:rPr>
        <w:t>are</w:t>
      </w:r>
      <w:proofErr w:type="gramEnd"/>
      <w:r w:rsidRPr="007C6C48">
        <w:rPr>
          <w:rFonts w:ascii="Roboto" w:hAnsi="Roboto"/>
          <w:lang w:eastAsia="en-US"/>
        </w:rPr>
        <w:t xml:space="preserve"> guessed, from which the mole fractions of all other species can be calculated, after which the mass balance constraint is applied. For instance, the total amount of each volatile component in the system varies by &lt;0.001 ppm during closed-system degassing (first four panels in </w:t>
      </w:r>
      <w:r w:rsidRPr="007C6C48">
        <w:rPr>
          <w:rFonts w:ascii="Roboto" w:hAnsi="Roboto"/>
          <w:lang w:eastAsia="en-US"/>
        </w:rPr>
        <w:fldChar w:fldCharType="begin"/>
      </w:r>
      <w:r w:rsidRPr="007C6C48">
        <w:rPr>
          <w:rFonts w:ascii="Roboto" w:hAnsi="Roboto"/>
          <w:lang w:eastAsia="en-US"/>
        </w:rPr>
        <w:instrText xml:space="preserve"> REF _Ref199096252 \h </w:instrText>
      </w:r>
      <w:r w:rsidRPr="007C6C48">
        <w:rPr>
          <w:rFonts w:ascii="Roboto" w:hAnsi="Roboto"/>
          <w:lang w:eastAsia="en-US"/>
        </w:rPr>
      </w:r>
      <w:r w:rsidR="007C6C48">
        <w:rPr>
          <w:rFonts w:ascii="Roboto" w:hAnsi="Roboto"/>
          <w:lang w:eastAsia="en-US"/>
        </w:rPr>
        <w:instrText xml:space="preserve"> \* MERGEFORMAT </w:instrText>
      </w:r>
      <w:r w:rsidRPr="007C6C48">
        <w:rPr>
          <w:rFonts w:ascii="Roboto" w:hAnsi="Roboto"/>
          <w:lang w:eastAsia="en-US"/>
        </w:rPr>
        <w:fldChar w:fldCharType="separate"/>
      </w:r>
      <w:r w:rsidRPr="007C6C48">
        <w:rPr>
          <w:rFonts w:ascii="Roboto" w:hAnsi="Roboto"/>
        </w:rPr>
        <w:t>Figure S</w:t>
      </w:r>
      <w:r w:rsidRPr="007C6C48">
        <w:rPr>
          <w:rFonts w:ascii="Roboto" w:hAnsi="Roboto"/>
          <w:noProof/>
        </w:rPr>
        <w:t>3</w:t>
      </w:r>
      <w:r w:rsidRPr="007C6C48">
        <w:rPr>
          <w:rFonts w:ascii="Roboto" w:hAnsi="Roboto"/>
          <w:lang w:eastAsia="en-US"/>
        </w:rPr>
        <w:fldChar w:fldCharType="end"/>
      </w:r>
      <w:r w:rsidRPr="007C6C48">
        <w:rPr>
          <w:rFonts w:ascii="Roboto" w:hAnsi="Roboto"/>
          <w:lang w:eastAsia="en-US"/>
        </w:rPr>
        <w:t xml:space="preserve">). The variation in </w:t>
      </w:r>
      <w:r w:rsidRPr="007C6C48">
        <w:rPr>
          <w:rFonts w:ascii="Roboto" w:hAnsi="Roboto"/>
          <w:i/>
          <w:iCs/>
          <w:lang w:eastAsia="en-US"/>
        </w:rPr>
        <w:t>f</w:t>
      </w:r>
      <w:r w:rsidRPr="007C6C48">
        <w:rPr>
          <w:rFonts w:ascii="Roboto" w:hAnsi="Roboto"/>
          <w:vertAlign w:val="subscript"/>
          <w:lang w:eastAsia="en-US"/>
        </w:rPr>
        <w:t>O2</w:t>
      </w:r>
      <w:r w:rsidRPr="007C6C48">
        <w:rPr>
          <w:rFonts w:ascii="Roboto" w:hAnsi="Roboto"/>
          <w:lang w:eastAsia="en-US"/>
        </w:rPr>
        <w:t xml:space="preserve"> (which should change during degassing) is smooth and an order of magnitude less than the value itself, suggesting good numerical convergence (final panel in </w:t>
      </w:r>
      <w:r w:rsidRPr="007C6C48">
        <w:rPr>
          <w:rFonts w:ascii="Roboto" w:hAnsi="Roboto"/>
          <w:lang w:eastAsia="en-US"/>
        </w:rPr>
        <w:fldChar w:fldCharType="begin"/>
      </w:r>
      <w:r w:rsidRPr="007C6C48">
        <w:rPr>
          <w:rFonts w:ascii="Roboto" w:hAnsi="Roboto"/>
          <w:lang w:eastAsia="en-US"/>
        </w:rPr>
        <w:instrText xml:space="preserve"> REF _Ref199096252 \h </w:instrText>
      </w:r>
      <w:r w:rsidRPr="007C6C48">
        <w:rPr>
          <w:rFonts w:ascii="Roboto" w:hAnsi="Roboto"/>
          <w:lang w:eastAsia="en-US"/>
        </w:rPr>
      </w:r>
      <w:r w:rsidR="007C6C48">
        <w:rPr>
          <w:rFonts w:ascii="Roboto" w:hAnsi="Roboto"/>
          <w:lang w:eastAsia="en-US"/>
        </w:rPr>
        <w:instrText xml:space="preserve"> \* MERGEFORMAT </w:instrText>
      </w:r>
      <w:r w:rsidRPr="007C6C48">
        <w:rPr>
          <w:rFonts w:ascii="Roboto" w:hAnsi="Roboto"/>
          <w:lang w:eastAsia="en-US"/>
        </w:rPr>
        <w:fldChar w:fldCharType="separate"/>
      </w:r>
      <w:r w:rsidRPr="007C6C48">
        <w:rPr>
          <w:rFonts w:ascii="Roboto" w:hAnsi="Roboto"/>
        </w:rPr>
        <w:t>Figure S</w:t>
      </w:r>
      <w:r w:rsidRPr="007C6C48">
        <w:rPr>
          <w:rFonts w:ascii="Roboto" w:hAnsi="Roboto"/>
          <w:noProof/>
        </w:rPr>
        <w:t>3</w:t>
      </w:r>
      <w:r w:rsidRPr="007C6C48">
        <w:rPr>
          <w:rFonts w:ascii="Roboto" w:hAnsi="Roboto"/>
          <w:lang w:eastAsia="en-US"/>
        </w:rPr>
        <w:fldChar w:fldCharType="end"/>
      </w:r>
      <w:r w:rsidRPr="007C6C48">
        <w:rPr>
          <w:rFonts w:ascii="Roboto" w:hAnsi="Roboto"/>
          <w:lang w:eastAsia="en-US"/>
        </w:rPr>
        <w:t>). This is because the mole fraction of O</w:t>
      </w:r>
      <w:r w:rsidRPr="007C6C48">
        <w:rPr>
          <w:rFonts w:ascii="Roboto" w:hAnsi="Roboto"/>
          <w:vertAlign w:val="subscript"/>
          <w:lang w:eastAsia="en-US"/>
        </w:rPr>
        <w:t>2</w:t>
      </w:r>
      <w:r w:rsidRPr="007C6C48">
        <w:rPr>
          <w:rFonts w:ascii="Roboto" w:hAnsi="Roboto"/>
          <w:lang w:eastAsia="en-US"/>
        </w:rPr>
        <w:t xml:space="preserve"> (from which </w:t>
      </w:r>
      <w:r w:rsidRPr="007C6C48">
        <w:rPr>
          <w:rFonts w:ascii="Roboto" w:hAnsi="Roboto"/>
          <w:i/>
          <w:iCs/>
          <w:lang w:eastAsia="en-US"/>
        </w:rPr>
        <w:t>f</w:t>
      </w:r>
      <w:r w:rsidRPr="007C6C48">
        <w:rPr>
          <w:rFonts w:ascii="Roboto" w:hAnsi="Roboto"/>
          <w:vertAlign w:val="subscript"/>
          <w:lang w:eastAsia="en-US"/>
        </w:rPr>
        <w:t>O2</w:t>
      </w:r>
      <w:r w:rsidRPr="007C6C48">
        <w:rPr>
          <w:rFonts w:ascii="Roboto" w:hAnsi="Roboto"/>
          <w:lang w:eastAsia="en-US"/>
        </w:rPr>
        <w:t xml:space="preserve"> can be directly calculated) is always one of these “guessed” species as its value has a large influence on the value of all other vapor species even though it has an insignificant mass in the system. Because of the small absolute value of O</w:t>
      </w:r>
      <w:r w:rsidRPr="007C6C48">
        <w:rPr>
          <w:rFonts w:ascii="Roboto" w:hAnsi="Roboto"/>
          <w:vertAlign w:val="subscript"/>
          <w:lang w:eastAsia="en-US"/>
        </w:rPr>
        <w:t>2</w:t>
      </w:r>
      <w:r w:rsidRPr="007C6C48">
        <w:rPr>
          <w:rFonts w:ascii="Roboto" w:hAnsi="Roboto"/>
          <w:lang w:eastAsia="en-US"/>
        </w:rPr>
        <w:t>, it would be difficult to calculate subsequently via mass balance.</w:t>
      </w:r>
    </w:p>
    <w:p w14:paraId="0715D3FD" w14:textId="77777777" w:rsidR="00412E7F" w:rsidRPr="007C6C48" w:rsidRDefault="00412E7F" w:rsidP="00412E7F">
      <w:pPr>
        <w:jc w:val="both"/>
        <w:rPr>
          <w:rFonts w:ascii="Roboto" w:hAnsi="Roboto"/>
          <w:lang w:eastAsia="en-US"/>
        </w:rPr>
      </w:pPr>
    </w:p>
    <w:p w14:paraId="746C7FF6" w14:textId="77777777" w:rsidR="00412E7F" w:rsidRPr="007C6C48" w:rsidRDefault="00412E7F" w:rsidP="00412E7F">
      <w:pPr>
        <w:keepNext/>
        <w:ind w:firstLine="0"/>
        <w:jc w:val="both"/>
        <w:rPr>
          <w:rFonts w:ascii="Roboto" w:hAnsi="Roboto"/>
        </w:rPr>
      </w:pPr>
      <w:r w:rsidRPr="007C6C48">
        <w:rPr>
          <w:rFonts w:ascii="Roboto" w:hAnsi="Roboto"/>
          <w:noProof/>
          <w:lang w:eastAsia="en-US"/>
        </w:rPr>
        <w:lastRenderedPageBreak/>
        <w:drawing>
          <wp:inline distT="0" distB="0" distL="0" distR="0" wp14:anchorId="596455DA" wp14:editId="47F3188D">
            <wp:extent cx="5731510" cy="1446530"/>
            <wp:effectExtent l="0" t="0" r="2540" b="1270"/>
            <wp:docPr id="1331935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35311" name=""/>
                    <pic:cNvPicPr/>
                  </pic:nvPicPr>
                  <pic:blipFill>
                    <a:blip r:embed="rId10"/>
                    <a:stretch>
                      <a:fillRect/>
                    </a:stretch>
                  </pic:blipFill>
                  <pic:spPr>
                    <a:xfrm>
                      <a:off x="0" y="0"/>
                      <a:ext cx="5731510" cy="1446530"/>
                    </a:xfrm>
                    <a:prstGeom prst="rect">
                      <a:avLst/>
                    </a:prstGeom>
                  </pic:spPr>
                </pic:pic>
              </a:graphicData>
            </a:graphic>
          </wp:inline>
        </w:drawing>
      </w:r>
    </w:p>
    <w:p w14:paraId="41774477" w14:textId="1487F4CE" w:rsidR="00412E7F" w:rsidRPr="007C6C48" w:rsidRDefault="00412E7F" w:rsidP="00412E7F">
      <w:pPr>
        <w:pStyle w:val="Caption"/>
        <w:jc w:val="both"/>
        <w:rPr>
          <w:rFonts w:ascii="Roboto" w:hAnsi="Roboto"/>
          <w:color w:val="auto"/>
          <w:sz w:val="24"/>
          <w:szCs w:val="24"/>
        </w:rPr>
      </w:pPr>
      <w:bookmarkStart w:id="17" w:name="_Ref199096252"/>
      <w:r w:rsidRPr="007C6C48">
        <w:rPr>
          <w:rFonts w:ascii="Roboto" w:hAnsi="Roboto"/>
          <w:color w:val="auto"/>
          <w:sz w:val="24"/>
          <w:szCs w:val="24"/>
        </w:rPr>
        <w:t>Figure S</w:t>
      </w:r>
      <w:r w:rsidRPr="007C6C48">
        <w:rPr>
          <w:rFonts w:ascii="Roboto" w:hAnsi="Roboto"/>
          <w:color w:val="auto"/>
          <w:sz w:val="24"/>
          <w:szCs w:val="24"/>
        </w:rPr>
        <w:fldChar w:fldCharType="begin"/>
      </w:r>
      <w:r w:rsidRPr="007C6C48">
        <w:rPr>
          <w:rFonts w:ascii="Roboto" w:hAnsi="Roboto"/>
          <w:color w:val="auto"/>
          <w:sz w:val="24"/>
          <w:szCs w:val="24"/>
        </w:rPr>
        <w:instrText xml:space="preserve"> SEQ Figure \* ARABIC </w:instrText>
      </w:r>
      <w:r w:rsidRPr="007C6C48">
        <w:rPr>
          <w:rFonts w:ascii="Roboto" w:hAnsi="Roboto"/>
          <w:color w:val="auto"/>
          <w:sz w:val="24"/>
          <w:szCs w:val="24"/>
        </w:rPr>
        <w:fldChar w:fldCharType="separate"/>
      </w:r>
      <w:r w:rsidR="006829FE" w:rsidRPr="007C6C48">
        <w:rPr>
          <w:rFonts w:ascii="Roboto" w:hAnsi="Roboto"/>
          <w:noProof/>
          <w:color w:val="auto"/>
          <w:sz w:val="24"/>
          <w:szCs w:val="24"/>
        </w:rPr>
        <w:t>3</w:t>
      </w:r>
      <w:r w:rsidRPr="007C6C48">
        <w:rPr>
          <w:rFonts w:ascii="Roboto" w:hAnsi="Roboto"/>
          <w:color w:val="auto"/>
          <w:sz w:val="24"/>
          <w:szCs w:val="24"/>
        </w:rPr>
        <w:fldChar w:fldCharType="end"/>
      </w:r>
      <w:bookmarkEnd w:id="17"/>
      <w:r w:rsidRPr="007C6C48">
        <w:rPr>
          <w:rFonts w:ascii="Roboto" w:hAnsi="Roboto"/>
          <w:color w:val="auto"/>
          <w:sz w:val="24"/>
          <w:szCs w:val="24"/>
        </w:rPr>
        <w:t xml:space="preserve">. Each panel shows the difference in the value between consecutive pressure steps: total oxygen, total, carbon, total hydrogen, total sulfur, and </w:t>
      </w:r>
      <w:r w:rsidRPr="007C6C48">
        <w:rPr>
          <w:rFonts w:ascii="Roboto" w:hAnsi="Roboto"/>
          <w:i/>
          <w:iCs w:val="0"/>
          <w:color w:val="auto"/>
          <w:sz w:val="24"/>
          <w:szCs w:val="24"/>
        </w:rPr>
        <w:t>f</w:t>
      </w:r>
      <w:r w:rsidRPr="007C6C48">
        <w:rPr>
          <w:rFonts w:ascii="Roboto" w:hAnsi="Roboto"/>
          <w:color w:val="auto"/>
          <w:sz w:val="24"/>
          <w:szCs w:val="24"/>
          <w:vertAlign w:val="subscript"/>
        </w:rPr>
        <w:t>O2</w:t>
      </w:r>
      <w:r w:rsidRPr="007C6C48">
        <w:rPr>
          <w:rFonts w:ascii="Roboto" w:hAnsi="Roboto"/>
          <w:color w:val="auto"/>
          <w:sz w:val="24"/>
          <w:szCs w:val="24"/>
        </w:rPr>
        <w:t>. The initial value (i) for each parameter is shown in square brackets.</w:t>
      </w:r>
    </w:p>
    <w:bookmarkEnd w:id="16"/>
    <w:p w14:paraId="119B1046" w14:textId="77777777" w:rsidR="0058021C" w:rsidRPr="007C6C48" w:rsidRDefault="0058021C" w:rsidP="0058021C">
      <w:pPr>
        <w:jc w:val="both"/>
        <w:rPr>
          <w:rFonts w:ascii="Roboto" w:hAnsi="Roboto"/>
        </w:rPr>
      </w:pPr>
    </w:p>
    <w:p w14:paraId="55E45053" w14:textId="6B94EAD3" w:rsidR="001A1A9B" w:rsidRPr="007C6C48" w:rsidRDefault="001A1A9B" w:rsidP="006829FE">
      <w:pPr>
        <w:pStyle w:val="Heading1"/>
        <w:rPr>
          <w:rFonts w:ascii="Roboto" w:hAnsi="Roboto"/>
        </w:rPr>
      </w:pPr>
      <w:bookmarkStart w:id="18" w:name="_Hlk199273118"/>
      <w:bookmarkStart w:id="19" w:name="_Hlk199355774"/>
      <w:r w:rsidRPr="007C6C48">
        <w:rPr>
          <w:rFonts w:ascii="Roboto" w:hAnsi="Roboto"/>
        </w:rPr>
        <w:t>Worked examples as Jupyter Notebooks</w:t>
      </w:r>
    </w:p>
    <w:p w14:paraId="1755900D" w14:textId="0AD53E8B" w:rsidR="001A1A9B" w:rsidRPr="007C6C48" w:rsidRDefault="001A1A9B" w:rsidP="001A1A9B">
      <w:pPr>
        <w:rPr>
          <w:rFonts w:ascii="Roboto" w:hAnsi="Roboto"/>
        </w:rPr>
      </w:pPr>
      <w:r w:rsidRPr="007C6C48">
        <w:rPr>
          <w:rFonts w:ascii="Roboto" w:hAnsi="Roboto"/>
        </w:rPr>
        <w:t xml:space="preserve">A variety of worked examples for different calculation types and options are available in the GitHub repository and ReadTheDocs, which will be updated as new options and calculation types are added. For </w:t>
      </w: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and total-melt-sulfur-oxybarometer calculations, </w:t>
      </w:r>
      <w:r w:rsidR="00D03159" w:rsidRPr="007C6C48">
        <w:rPr>
          <w:rFonts w:ascii="Roboto" w:hAnsi="Roboto"/>
        </w:rPr>
        <w:t xml:space="preserve">worked </w:t>
      </w:r>
      <w:r w:rsidRPr="007C6C48">
        <w:rPr>
          <w:rFonts w:ascii="Roboto" w:hAnsi="Roboto"/>
        </w:rPr>
        <w:t>examples</w:t>
      </w:r>
      <w:r w:rsidR="00D03159" w:rsidRPr="007C6C48">
        <w:rPr>
          <w:rFonts w:ascii="Roboto" w:hAnsi="Roboto"/>
        </w:rPr>
        <w:t xml:space="preserve"> as Jupyter Notebooks</w:t>
      </w:r>
      <w:r w:rsidRPr="007C6C48">
        <w:rPr>
          <w:rFonts w:ascii="Roboto" w:hAnsi="Roboto"/>
        </w:rPr>
        <w:t xml:space="preserve"> </w:t>
      </w:r>
      <w:r w:rsidR="0088127F" w:rsidRPr="007C6C48">
        <w:rPr>
          <w:rFonts w:ascii="Roboto" w:hAnsi="Roboto"/>
        </w:rPr>
        <w:t xml:space="preserve">currently </w:t>
      </w:r>
      <w:r w:rsidRPr="007C6C48">
        <w:rPr>
          <w:rFonts w:ascii="Roboto" w:hAnsi="Roboto"/>
        </w:rPr>
        <w:t>include:</w:t>
      </w:r>
    </w:p>
    <w:p w14:paraId="40E88F9E" w14:textId="4D3EDBEA" w:rsidR="001A1A9B" w:rsidRPr="007C6C48" w:rsidRDefault="0088127F" w:rsidP="00D03159">
      <w:pPr>
        <w:pStyle w:val="ListParagraph"/>
        <w:numPr>
          <w:ilvl w:val="0"/>
          <w:numId w:val="6"/>
        </w:numPr>
        <w:rPr>
          <w:rFonts w:ascii="Roboto" w:hAnsi="Roboto"/>
        </w:rPr>
      </w:pPr>
      <w:r w:rsidRPr="007C6C48">
        <w:rPr>
          <w:rFonts w:ascii="Roboto" w:hAnsi="Roboto"/>
        </w:rPr>
        <w:t>One analysis (i.e., melt composition) entered directly.</w:t>
      </w:r>
    </w:p>
    <w:p w14:paraId="1A3BD485" w14:textId="58277CE0" w:rsidR="0088127F" w:rsidRPr="007C6C48" w:rsidRDefault="0088127F" w:rsidP="00D03159">
      <w:pPr>
        <w:pStyle w:val="ListParagraph"/>
        <w:numPr>
          <w:ilvl w:val="0"/>
          <w:numId w:val="6"/>
        </w:numPr>
        <w:rPr>
          <w:rFonts w:ascii="Roboto" w:hAnsi="Roboto"/>
        </w:rPr>
      </w:pPr>
      <w:r w:rsidRPr="007C6C48">
        <w:rPr>
          <w:rFonts w:ascii="Roboto" w:hAnsi="Roboto"/>
        </w:rPr>
        <w:t>Multiple analyses (i.e., melt compositions) read from a csv file.</w:t>
      </w:r>
    </w:p>
    <w:p w14:paraId="671865F5" w14:textId="3703FB32" w:rsidR="0088127F" w:rsidRPr="007C6C48" w:rsidRDefault="0088127F" w:rsidP="00D03159">
      <w:pPr>
        <w:pStyle w:val="ListParagraph"/>
        <w:numPr>
          <w:ilvl w:val="0"/>
          <w:numId w:val="6"/>
        </w:numPr>
        <w:rPr>
          <w:rFonts w:ascii="Roboto" w:hAnsi="Roboto"/>
        </w:rPr>
      </w:pPr>
      <w:r w:rsidRPr="007C6C48">
        <w:rPr>
          <w:rFonts w:ascii="Roboto" w:hAnsi="Roboto"/>
        </w:rPr>
        <w:t>Using default vs. user-specified options (e.g., for parameterisations of model dependent variables).</w:t>
      </w:r>
    </w:p>
    <w:p w14:paraId="126831B9" w14:textId="4103D9BD" w:rsidR="0088127F" w:rsidRPr="007C6C48" w:rsidRDefault="0088127F" w:rsidP="00D03159">
      <w:pPr>
        <w:pStyle w:val="ListParagraph"/>
        <w:numPr>
          <w:ilvl w:val="0"/>
          <w:numId w:val="6"/>
        </w:numPr>
        <w:rPr>
          <w:rFonts w:ascii="Roboto" w:hAnsi="Roboto"/>
        </w:rPr>
      </w:pPr>
      <w:r w:rsidRPr="007C6C48">
        <w:rPr>
          <w:rFonts w:ascii="Roboto" w:hAnsi="Roboto"/>
        </w:rPr>
        <w:t>Including uncertainties on inputs into the calculation outputs.</w:t>
      </w:r>
    </w:p>
    <w:p w14:paraId="2E2AFF6F" w14:textId="5AD90530" w:rsidR="0088127F" w:rsidRPr="007C6C48" w:rsidRDefault="0088127F" w:rsidP="00D03159">
      <w:pPr>
        <w:pStyle w:val="ListParagraph"/>
        <w:numPr>
          <w:ilvl w:val="0"/>
          <w:numId w:val="6"/>
        </w:numPr>
        <w:rPr>
          <w:rFonts w:ascii="Roboto" w:hAnsi="Roboto"/>
        </w:rPr>
      </w:pPr>
      <w:r w:rsidRPr="007C6C48">
        <w:rPr>
          <w:rFonts w:ascii="Roboto" w:hAnsi="Roboto"/>
        </w:rPr>
        <w:t>Different identities of the volatile species “X” (</w:t>
      </w:r>
      <w:r w:rsidRPr="007C6C48">
        <w:rPr>
          <w:rFonts w:ascii="Roboto" w:hAnsi="Roboto"/>
          <w:i/>
          <w:iCs/>
        </w:rPr>
        <w:t>P</w:t>
      </w:r>
      <w:r w:rsidRPr="007C6C48">
        <w:rPr>
          <w:rFonts w:ascii="Roboto" w:hAnsi="Roboto"/>
          <w:i/>
          <w:iCs/>
          <w:vertAlign w:val="superscript"/>
        </w:rPr>
        <w:t>v</w:t>
      </w:r>
      <w:r w:rsidRPr="007C6C48">
        <w:rPr>
          <w:rFonts w:ascii="Roboto" w:hAnsi="Roboto"/>
          <w:vertAlign w:val="subscript"/>
        </w:rPr>
        <w:t>sat</w:t>
      </w:r>
      <w:r w:rsidRPr="007C6C48">
        <w:rPr>
          <w:rFonts w:ascii="Roboto" w:hAnsi="Roboto"/>
        </w:rPr>
        <w:t xml:space="preserve"> only).</w:t>
      </w:r>
    </w:p>
    <w:p w14:paraId="3197352C" w14:textId="5CD0E63F" w:rsidR="0088127F" w:rsidRPr="007C6C48" w:rsidRDefault="0088127F" w:rsidP="0088127F">
      <w:pPr>
        <w:rPr>
          <w:rFonts w:ascii="Roboto" w:hAnsi="Roboto"/>
        </w:rPr>
      </w:pPr>
      <w:r w:rsidRPr="007C6C48">
        <w:rPr>
          <w:rFonts w:ascii="Roboto" w:hAnsi="Roboto"/>
        </w:rPr>
        <w:t xml:space="preserve">For the degassing and regassing calculations, </w:t>
      </w:r>
      <w:r w:rsidR="00D03159" w:rsidRPr="007C6C48">
        <w:rPr>
          <w:rFonts w:ascii="Roboto" w:hAnsi="Roboto"/>
        </w:rPr>
        <w:t xml:space="preserve">worked </w:t>
      </w:r>
      <w:r w:rsidRPr="007C6C48">
        <w:rPr>
          <w:rFonts w:ascii="Roboto" w:hAnsi="Roboto"/>
        </w:rPr>
        <w:t>examples</w:t>
      </w:r>
      <w:r w:rsidR="00D03159" w:rsidRPr="007C6C48">
        <w:rPr>
          <w:rFonts w:ascii="Roboto" w:hAnsi="Roboto"/>
        </w:rPr>
        <w:t xml:space="preserve"> as Jupyter Notebooks</w:t>
      </w:r>
      <w:r w:rsidRPr="007C6C48">
        <w:rPr>
          <w:rFonts w:ascii="Roboto" w:hAnsi="Roboto"/>
        </w:rPr>
        <w:t xml:space="preserve"> currently include closed- and open- re- and degassing options where the calculation starts without and with vapor (using both amount of vapor and initial CO</w:t>
      </w:r>
      <w:r w:rsidRPr="007C6C48">
        <w:rPr>
          <w:rFonts w:ascii="Roboto" w:hAnsi="Roboto"/>
          <w:vertAlign w:val="subscript"/>
        </w:rPr>
        <w:t>2</w:t>
      </w:r>
      <w:r w:rsidRPr="007C6C48">
        <w:rPr>
          <w:rFonts w:ascii="Roboto" w:hAnsi="Roboto"/>
        </w:rPr>
        <w:t>)</w:t>
      </w:r>
      <w:r w:rsidR="00D03159" w:rsidRPr="007C6C48">
        <w:rPr>
          <w:rFonts w:ascii="Roboto" w:hAnsi="Roboto"/>
        </w:rPr>
        <w:t xml:space="preserve"> and sulfur can or cannot saturate as sulfide/anhydrite</w:t>
      </w:r>
      <w:r w:rsidRPr="007C6C48">
        <w:rPr>
          <w:rFonts w:ascii="Roboto" w:hAnsi="Roboto"/>
        </w:rPr>
        <w:t>. Additionally, examples for different volatiles systems (e.g., CHOS, HSO, CSO, CHOAr, CHONe) are included.</w:t>
      </w:r>
    </w:p>
    <w:p w14:paraId="063D73FB" w14:textId="28EF11E5" w:rsidR="00D03159" w:rsidRPr="007C6C48" w:rsidRDefault="00D03159" w:rsidP="0088127F">
      <w:pPr>
        <w:rPr>
          <w:rFonts w:ascii="Roboto" w:hAnsi="Roboto"/>
        </w:rPr>
      </w:pPr>
      <w:r w:rsidRPr="007C6C48">
        <w:rPr>
          <w:rFonts w:ascii="Roboto" w:hAnsi="Roboto"/>
        </w:rPr>
        <w:t>Additionally, worked examples as Jupyter Notebooks are available for:</w:t>
      </w:r>
    </w:p>
    <w:p w14:paraId="77D5396C" w14:textId="4F9A1A3F" w:rsidR="001A1A9B" w:rsidRPr="007C6C48" w:rsidRDefault="00D03159" w:rsidP="00D03159">
      <w:pPr>
        <w:numPr>
          <w:ilvl w:val="0"/>
          <w:numId w:val="5"/>
        </w:numPr>
        <w:rPr>
          <w:rFonts w:ascii="Roboto" w:hAnsi="Roboto"/>
          <w:lang w:val="en-NZ"/>
        </w:rPr>
      </w:pPr>
      <w:r w:rsidRPr="007C6C48">
        <w:rPr>
          <w:rFonts w:ascii="Roboto" w:hAnsi="Roboto"/>
          <w:lang w:val="en-NZ"/>
        </w:rPr>
        <w:t>F</w:t>
      </w:r>
      <w:r w:rsidR="001A1A9B" w:rsidRPr="007C6C48">
        <w:rPr>
          <w:rFonts w:ascii="Roboto" w:hAnsi="Roboto"/>
          <w:lang w:val="en-NZ"/>
        </w:rPr>
        <w:t>ugacity coefficients at various </w:t>
      </w:r>
      <w:r w:rsidR="001A1A9B" w:rsidRPr="007C6C48">
        <w:rPr>
          <w:rFonts w:ascii="Roboto" w:hAnsi="Roboto"/>
          <w:i/>
          <w:iCs/>
          <w:lang w:val="en-NZ"/>
        </w:rPr>
        <w:t>P</w:t>
      </w:r>
      <w:r w:rsidR="001A1A9B" w:rsidRPr="007C6C48">
        <w:rPr>
          <w:rFonts w:ascii="Roboto" w:hAnsi="Roboto"/>
          <w:lang w:val="en-NZ"/>
        </w:rPr>
        <w:t> and </w:t>
      </w:r>
      <w:r w:rsidR="001A1A9B" w:rsidRPr="007C6C48">
        <w:rPr>
          <w:rFonts w:ascii="Roboto" w:hAnsi="Roboto"/>
          <w:i/>
          <w:iCs/>
          <w:lang w:val="en-NZ"/>
        </w:rPr>
        <w:t>T</w:t>
      </w:r>
      <w:r w:rsidR="001A1A9B" w:rsidRPr="007C6C48">
        <w:rPr>
          <w:rFonts w:ascii="Roboto" w:hAnsi="Roboto"/>
          <w:lang w:val="en-NZ"/>
        </w:rPr>
        <w:t>.</w:t>
      </w:r>
    </w:p>
    <w:p w14:paraId="4A08D839" w14:textId="7167E126" w:rsidR="001A1A9B" w:rsidRPr="007C6C48" w:rsidRDefault="00D03159" w:rsidP="00D03159">
      <w:pPr>
        <w:numPr>
          <w:ilvl w:val="0"/>
          <w:numId w:val="5"/>
        </w:numPr>
        <w:rPr>
          <w:rFonts w:ascii="Roboto" w:hAnsi="Roboto"/>
          <w:lang w:val="en-NZ"/>
        </w:rPr>
      </w:pPr>
      <w:r w:rsidRPr="007C6C48">
        <w:rPr>
          <w:rFonts w:ascii="Roboto" w:hAnsi="Roboto"/>
          <w:lang w:val="en-NZ"/>
        </w:rPr>
        <w:t>S</w:t>
      </w:r>
      <w:r w:rsidR="001A1A9B" w:rsidRPr="007C6C48">
        <w:rPr>
          <w:rFonts w:ascii="Roboto" w:hAnsi="Roboto"/>
          <w:lang w:val="en-NZ"/>
        </w:rPr>
        <w:t xml:space="preserve">olubility </w:t>
      </w:r>
      <w:r w:rsidR="0086713C" w:rsidRPr="007C6C48">
        <w:rPr>
          <w:rFonts w:ascii="Roboto" w:hAnsi="Roboto"/>
          <w:lang w:val="en-NZ"/>
        </w:rPr>
        <w:t>functions</w:t>
      </w:r>
      <w:r w:rsidR="001A1A9B" w:rsidRPr="007C6C48">
        <w:rPr>
          <w:rFonts w:ascii="Roboto" w:hAnsi="Roboto"/>
          <w:lang w:val="en-NZ"/>
        </w:rPr>
        <w:t xml:space="preserve"> at various </w:t>
      </w:r>
      <w:r w:rsidR="001A1A9B" w:rsidRPr="007C6C48">
        <w:rPr>
          <w:rFonts w:ascii="Roboto" w:hAnsi="Roboto"/>
          <w:i/>
          <w:iCs/>
          <w:lang w:val="en-NZ"/>
        </w:rPr>
        <w:t>P</w:t>
      </w:r>
      <w:r w:rsidR="001A1A9B" w:rsidRPr="007C6C48">
        <w:rPr>
          <w:rFonts w:ascii="Roboto" w:hAnsi="Roboto"/>
          <w:lang w:val="en-NZ"/>
        </w:rPr>
        <w:t>, </w:t>
      </w:r>
      <w:r w:rsidR="001A1A9B" w:rsidRPr="007C6C48">
        <w:rPr>
          <w:rFonts w:ascii="Roboto" w:hAnsi="Roboto"/>
          <w:i/>
          <w:iCs/>
          <w:lang w:val="en-NZ"/>
        </w:rPr>
        <w:t>T</w:t>
      </w:r>
      <w:r w:rsidR="001A1A9B" w:rsidRPr="007C6C48">
        <w:rPr>
          <w:rFonts w:ascii="Roboto" w:hAnsi="Roboto"/>
          <w:lang w:val="en-NZ"/>
        </w:rPr>
        <w:t>, and melt compositions.</w:t>
      </w:r>
    </w:p>
    <w:p w14:paraId="505BF1D3" w14:textId="195E2B4B" w:rsidR="001A1A9B" w:rsidRPr="007C6C48" w:rsidRDefault="00D03159" w:rsidP="00D03159">
      <w:pPr>
        <w:numPr>
          <w:ilvl w:val="0"/>
          <w:numId w:val="5"/>
        </w:numPr>
        <w:rPr>
          <w:rFonts w:ascii="Roboto" w:hAnsi="Roboto"/>
          <w:lang w:val="en-NZ"/>
        </w:rPr>
      </w:pPr>
      <w:r w:rsidRPr="007C6C48">
        <w:rPr>
          <w:rFonts w:ascii="Roboto" w:hAnsi="Roboto"/>
          <w:lang w:val="en-NZ"/>
        </w:rPr>
        <w:t>P</w:t>
      </w:r>
      <w:r w:rsidR="001A1A9B" w:rsidRPr="007C6C48">
        <w:rPr>
          <w:rFonts w:ascii="Roboto" w:hAnsi="Roboto"/>
          <w:lang w:val="en-NZ"/>
        </w:rPr>
        <w:t>ure solubilities for H</w:t>
      </w:r>
      <w:r w:rsidR="001A1A9B" w:rsidRPr="007C6C48">
        <w:rPr>
          <w:rFonts w:ascii="Roboto" w:hAnsi="Roboto"/>
          <w:vertAlign w:val="subscript"/>
          <w:lang w:val="en-NZ"/>
        </w:rPr>
        <w:t>2</w:t>
      </w:r>
      <w:r w:rsidRPr="007C6C48">
        <w:rPr>
          <w:rFonts w:ascii="Roboto" w:hAnsi="Roboto"/>
          <w:lang w:val="en-NZ"/>
        </w:rPr>
        <w:t>O and CO</w:t>
      </w:r>
      <w:r w:rsidRPr="007C6C48">
        <w:rPr>
          <w:rFonts w:ascii="Roboto" w:hAnsi="Roboto"/>
          <w:vertAlign w:val="subscript"/>
          <w:lang w:val="en-NZ"/>
        </w:rPr>
        <w:t>2</w:t>
      </w:r>
      <w:r w:rsidRPr="007C6C48">
        <w:rPr>
          <w:rFonts w:ascii="Roboto" w:hAnsi="Roboto"/>
          <w:lang w:val="en-NZ"/>
        </w:rPr>
        <w:t>.</w:t>
      </w:r>
    </w:p>
    <w:p w14:paraId="725913CD" w14:textId="2EC0B461" w:rsidR="001A1A9B" w:rsidRPr="007C6C48" w:rsidRDefault="00D03159" w:rsidP="00D03159">
      <w:pPr>
        <w:numPr>
          <w:ilvl w:val="0"/>
          <w:numId w:val="5"/>
        </w:numPr>
        <w:rPr>
          <w:rFonts w:ascii="Roboto" w:hAnsi="Roboto"/>
          <w:lang w:val="en-NZ"/>
        </w:rPr>
      </w:pPr>
      <w:r w:rsidRPr="007C6C48">
        <w:rPr>
          <w:rFonts w:ascii="Roboto" w:hAnsi="Roboto"/>
          <w:lang w:val="en-NZ"/>
        </w:rPr>
        <w:t>I</w:t>
      </w:r>
      <w:r w:rsidR="001A1A9B" w:rsidRPr="007C6C48">
        <w:rPr>
          <w:rFonts w:ascii="Roboto" w:hAnsi="Roboto"/>
          <w:lang w:val="en-NZ"/>
        </w:rPr>
        <w:t>sobars for H</w:t>
      </w:r>
      <w:r w:rsidR="001A1A9B" w:rsidRPr="007C6C48">
        <w:rPr>
          <w:rFonts w:ascii="Roboto" w:hAnsi="Roboto"/>
          <w:vertAlign w:val="subscript"/>
          <w:lang w:val="en-NZ"/>
        </w:rPr>
        <w:t>2</w:t>
      </w:r>
      <w:r w:rsidR="001A1A9B" w:rsidRPr="007C6C48">
        <w:rPr>
          <w:rFonts w:ascii="Roboto" w:hAnsi="Roboto"/>
          <w:lang w:val="en-NZ"/>
        </w:rPr>
        <w:t> O-CO</w:t>
      </w:r>
      <w:r w:rsidR="001A1A9B" w:rsidRPr="007C6C48">
        <w:rPr>
          <w:rFonts w:ascii="Roboto" w:hAnsi="Roboto"/>
          <w:vertAlign w:val="subscript"/>
          <w:lang w:val="en-NZ"/>
        </w:rPr>
        <w:t>2</w:t>
      </w:r>
      <w:r w:rsidRPr="007C6C48">
        <w:rPr>
          <w:rFonts w:ascii="Roboto" w:hAnsi="Roboto"/>
          <w:lang w:val="en-NZ"/>
        </w:rPr>
        <w:t>.</w:t>
      </w:r>
    </w:p>
    <w:p w14:paraId="5E598BBE" w14:textId="4A6BD20B" w:rsidR="001A1A9B" w:rsidRPr="007C6C48" w:rsidRDefault="001A1A9B" w:rsidP="00D03159">
      <w:pPr>
        <w:numPr>
          <w:ilvl w:val="0"/>
          <w:numId w:val="5"/>
        </w:numPr>
        <w:rPr>
          <w:rFonts w:ascii="Roboto" w:hAnsi="Roboto"/>
          <w:lang w:val="en-NZ"/>
        </w:rPr>
      </w:pPr>
      <w:r w:rsidRPr="007C6C48">
        <w:rPr>
          <w:rFonts w:ascii="Roboto" w:hAnsi="Roboto"/>
          <w:lang w:val="en-NZ"/>
        </w:rPr>
        <w:t>Monte Carlo approach for analytical uncertainties on melt composition.</w:t>
      </w:r>
    </w:p>
    <w:p w14:paraId="44424329" w14:textId="2B53E7B1" w:rsidR="001A1A9B" w:rsidRPr="007C6C48" w:rsidRDefault="00D03159" w:rsidP="00D03159">
      <w:pPr>
        <w:numPr>
          <w:ilvl w:val="0"/>
          <w:numId w:val="5"/>
        </w:numPr>
        <w:rPr>
          <w:rFonts w:ascii="Roboto" w:hAnsi="Roboto"/>
          <w:lang w:val="en-NZ"/>
        </w:rPr>
      </w:pPr>
      <w:r w:rsidRPr="007C6C48">
        <w:rPr>
          <w:rFonts w:ascii="Roboto" w:hAnsi="Roboto"/>
          <w:lang w:val="en-NZ"/>
        </w:rPr>
        <w:t>The full Marianas workflow.</w:t>
      </w:r>
    </w:p>
    <w:p w14:paraId="7E78B7CB" w14:textId="77777777" w:rsidR="001A1A9B" w:rsidRPr="007C6C48" w:rsidRDefault="001A1A9B" w:rsidP="001A1A9B">
      <w:pPr>
        <w:rPr>
          <w:rFonts w:ascii="Roboto" w:hAnsi="Roboto"/>
        </w:rPr>
      </w:pPr>
    </w:p>
    <w:p w14:paraId="1FE3E89A" w14:textId="0D42C74B" w:rsidR="006829FE" w:rsidRPr="007C6C48" w:rsidRDefault="006829FE" w:rsidP="006829FE">
      <w:pPr>
        <w:pStyle w:val="Heading1"/>
        <w:rPr>
          <w:rFonts w:ascii="Roboto" w:hAnsi="Roboto"/>
        </w:rPr>
      </w:pPr>
      <w:r w:rsidRPr="007C6C48">
        <w:rPr>
          <w:rFonts w:ascii="Roboto" w:hAnsi="Roboto"/>
        </w:rPr>
        <w:t>Comparison to isobar calculations using Dixon model in VESIcal</w:t>
      </w:r>
    </w:p>
    <w:p w14:paraId="1724E2BE" w14:textId="77777777" w:rsidR="006829FE" w:rsidRPr="007C6C48" w:rsidRDefault="006829FE" w:rsidP="006829FE">
      <w:pPr>
        <w:rPr>
          <w:rFonts w:ascii="Roboto" w:hAnsi="Roboto"/>
        </w:rPr>
      </w:pPr>
      <w:r w:rsidRPr="007C6C48">
        <w:rPr>
          <w:rFonts w:ascii="Roboto" w:hAnsi="Roboto"/>
        </w:rPr>
        <w:t xml:space="preserve">Benchmarking calculations is a few steps up from benchmarking model dependent variables and would answer “how do you know a correct solution is reached”. To benchmark a calculation like isobars or degassing, all the model dependent variables employed in the tool used as a benchmark must be the same as in VolFe (i.e., fugacity coefficients, solubility functions, equilibrium constants etc.). If they are not the same, the answer will not be the same even if the calculation is working. Unfortunately, no melt-vapor equilibria tools available use the exact same </w:t>
      </w:r>
      <w:r w:rsidRPr="007C6C48">
        <w:rPr>
          <w:rFonts w:ascii="Roboto" w:hAnsi="Roboto"/>
        </w:rPr>
        <w:lastRenderedPageBreak/>
        <w:t xml:space="preserve">combination of species, solubility functions, fugacity coefficients, etc. as in VolFe and so the results for the same calculation will not produce the same results. Therefore, unfortunately, we </w:t>
      </w:r>
      <w:proofErr w:type="gramStart"/>
      <w:r w:rsidRPr="007C6C48">
        <w:rPr>
          <w:rFonts w:ascii="Roboto" w:hAnsi="Roboto"/>
        </w:rPr>
        <w:t>are not able to</w:t>
      </w:r>
      <w:proofErr w:type="gramEnd"/>
      <w:r w:rsidRPr="007C6C48">
        <w:rPr>
          <w:rFonts w:ascii="Roboto" w:hAnsi="Roboto"/>
        </w:rPr>
        <w:t xml:space="preserve"> benchmark VolFe calculations against any other tools to check it produces the “right” answer. However, we can still compare the results to see how similar/different they are, such as the closed-system degassing curves in Figure 3e–g in the main text.</w:t>
      </w:r>
    </w:p>
    <w:p w14:paraId="3819718D" w14:textId="4C6A46A7" w:rsidR="006829FE" w:rsidRPr="007C6C48" w:rsidRDefault="006829FE" w:rsidP="006829FE">
      <w:pPr>
        <w:rPr>
          <w:rFonts w:ascii="Roboto" w:hAnsi="Roboto"/>
          <w:lang w:val="en-NZ"/>
        </w:rPr>
      </w:pPr>
      <w:r w:rsidRPr="007C6C48">
        <w:rPr>
          <w:rFonts w:ascii="Roboto" w:hAnsi="Roboto"/>
        </w:rPr>
        <w:t xml:space="preserve">In </w:t>
      </w:r>
      <w:r w:rsidRPr="007C6C48">
        <w:rPr>
          <w:rFonts w:ascii="Roboto" w:hAnsi="Roboto"/>
        </w:rPr>
        <w:fldChar w:fldCharType="begin"/>
      </w:r>
      <w:r w:rsidRPr="007C6C48">
        <w:rPr>
          <w:rFonts w:ascii="Roboto" w:hAnsi="Roboto"/>
        </w:rPr>
        <w:instrText xml:space="preserve"> REF _Ref199272647 \h </w:instrText>
      </w:r>
      <w:r w:rsidRPr="007C6C48">
        <w:rPr>
          <w:rFonts w:ascii="Roboto" w:hAnsi="Roboto"/>
        </w:rPr>
      </w:r>
      <w:r w:rsidR="007C6C48">
        <w:rPr>
          <w:rFonts w:ascii="Roboto" w:hAnsi="Roboto"/>
        </w:rPr>
        <w:instrText xml:space="preserve"> \* MERGEFORMAT </w:instrText>
      </w:r>
      <w:r w:rsidRPr="007C6C48">
        <w:rPr>
          <w:rFonts w:ascii="Roboto" w:hAnsi="Roboto"/>
        </w:rPr>
        <w:fldChar w:fldCharType="separate"/>
      </w:r>
      <w:r w:rsidRPr="007C6C48">
        <w:rPr>
          <w:rFonts w:ascii="Roboto" w:hAnsi="Roboto"/>
        </w:rPr>
        <w:t>Figure S</w:t>
      </w:r>
      <w:r w:rsidRPr="007C6C48">
        <w:rPr>
          <w:rFonts w:ascii="Roboto" w:hAnsi="Roboto"/>
          <w:noProof/>
        </w:rPr>
        <w:t>4</w:t>
      </w:r>
      <w:r w:rsidRPr="007C6C48">
        <w:rPr>
          <w:rFonts w:ascii="Roboto" w:hAnsi="Roboto"/>
        </w:rPr>
        <w:fldChar w:fldCharType="end"/>
      </w:r>
      <w:r w:rsidRPr="007C6C48">
        <w:rPr>
          <w:rFonts w:ascii="Roboto" w:hAnsi="Roboto"/>
        </w:rPr>
        <w:t xml:space="preserve"> </w:t>
      </w:r>
      <w:r w:rsidRPr="007C6C48">
        <w:rPr>
          <w:rFonts w:ascii="Roboto" w:hAnsi="Roboto"/>
          <w:lang w:val="en-NZ"/>
        </w:rPr>
        <w:t>we compare isobars created using VESIcal and the Dixon model (i.e., simplification of the Dixon, 1997, model as implemented in VolatileCal, Newman &amp; Lowenstern, 2002) with the closest match of model-dependent variables possible in VolFe</w:t>
      </w:r>
      <w:r w:rsidR="00D03159" w:rsidRPr="007C6C48">
        <w:rPr>
          <w:rFonts w:ascii="Roboto" w:hAnsi="Roboto"/>
          <w:lang w:val="en-NZ"/>
        </w:rPr>
        <w:t xml:space="preserve"> (a Jupyter Notebook for this comparison is available in the GitHub repository and ReadTheDocs)</w:t>
      </w:r>
      <w:r w:rsidRPr="007C6C48">
        <w:rPr>
          <w:rFonts w:ascii="Roboto" w:hAnsi="Roboto"/>
          <w:lang w:val="en-NZ"/>
        </w:rPr>
        <w:t>. The Dixon (1997) CO</w:t>
      </w:r>
      <w:r w:rsidRPr="007C6C48">
        <w:rPr>
          <w:rFonts w:ascii="Roboto" w:hAnsi="Roboto"/>
          <w:vertAlign w:val="subscript"/>
          <w:lang w:val="en-NZ"/>
        </w:rPr>
        <w:t>2</w:t>
      </w:r>
      <w:r w:rsidRPr="007C6C48">
        <w:rPr>
          <w:rFonts w:ascii="Roboto" w:hAnsi="Roboto"/>
          <w:lang w:val="en-NZ"/>
        </w:rPr>
        <w:t xml:space="preserve"> solubility function requires SiO</w:t>
      </w:r>
      <w:r w:rsidRPr="007C6C48">
        <w:rPr>
          <w:rFonts w:ascii="Roboto" w:hAnsi="Roboto"/>
          <w:vertAlign w:val="subscript"/>
          <w:lang w:val="en-NZ"/>
        </w:rPr>
        <w:t>2</w:t>
      </w:r>
      <w:r w:rsidRPr="007C6C48">
        <w:rPr>
          <w:rFonts w:ascii="Roboto" w:hAnsi="Roboto"/>
          <w:lang w:val="en-NZ"/>
        </w:rPr>
        <w:t xml:space="preserve"> (wt%): VolFe normalise</w:t>
      </w:r>
      <w:r w:rsidR="000229A8" w:rsidRPr="007C6C48">
        <w:rPr>
          <w:rFonts w:ascii="Roboto" w:hAnsi="Roboto"/>
          <w:lang w:val="en-NZ"/>
        </w:rPr>
        <w:t>s</w:t>
      </w:r>
      <w:r w:rsidRPr="007C6C48">
        <w:rPr>
          <w:rFonts w:ascii="Roboto" w:hAnsi="Roboto"/>
          <w:lang w:val="en-NZ"/>
        </w:rPr>
        <w:t xml:space="preserve"> SiO</w:t>
      </w:r>
      <w:r w:rsidRPr="007C6C48">
        <w:rPr>
          <w:rFonts w:ascii="Roboto" w:hAnsi="Roboto"/>
          <w:vertAlign w:val="subscript"/>
          <w:lang w:val="en-NZ"/>
        </w:rPr>
        <w:t>2</w:t>
      </w:r>
      <w:r w:rsidRPr="007C6C48">
        <w:rPr>
          <w:rFonts w:ascii="Roboto" w:hAnsi="Roboto"/>
          <w:lang w:val="en-NZ"/>
        </w:rPr>
        <w:t xml:space="preserve"> to the volatile-free melt composition</w:t>
      </w:r>
      <w:r w:rsidR="000229A8" w:rsidRPr="007C6C48">
        <w:rPr>
          <w:rFonts w:ascii="Roboto" w:hAnsi="Roboto"/>
          <w:lang w:val="en-NZ"/>
        </w:rPr>
        <w:t>;</w:t>
      </w:r>
      <w:r w:rsidRPr="007C6C48">
        <w:rPr>
          <w:rFonts w:ascii="Roboto" w:hAnsi="Roboto"/>
          <w:lang w:val="en-NZ"/>
        </w:rPr>
        <w:t xml:space="preserve"> whereas as a default, VESIcal does not normalise the melt composition. This makes a big difference and hence we calculate it with and without normalisation to the volatile-free melt composition in VESIcal. </w:t>
      </w:r>
    </w:p>
    <w:p w14:paraId="11DFDC9F" w14:textId="1A09F020" w:rsidR="006829FE" w:rsidRPr="007C6C48" w:rsidRDefault="006829FE" w:rsidP="002F0513">
      <w:pPr>
        <w:ind w:firstLine="0"/>
        <w:rPr>
          <w:rFonts w:ascii="Roboto" w:hAnsi="Roboto"/>
          <w:lang w:val="en-NZ"/>
        </w:rPr>
      </w:pPr>
    </w:p>
    <w:p w14:paraId="7208C410" w14:textId="541F83A5" w:rsidR="006829FE" w:rsidRPr="007C6C48" w:rsidRDefault="006829FE" w:rsidP="006829FE">
      <w:pPr>
        <w:rPr>
          <w:rFonts w:ascii="Roboto" w:hAnsi="Roboto"/>
        </w:rPr>
      </w:pPr>
      <w:r w:rsidRPr="007C6C48">
        <w:rPr>
          <w:rFonts w:ascii="Roboto" w:hAnsi="Roboto"/>
        </w:rPr>
        <w:t xml:space="preserve"> </w:t>
      </w:r>
    </w:p>
    <w:p w14:paraId="4C8610B1" w14:textId="77777777" w:rsidR="006829FE" w:rsidRPr="007C6C48" w:rsidRDefault="006829FE" w:rsidP="006829FE">
      <w:pPr>
        <w:keepNext/>
        <w:jc w:val="center"/>
        <w:rPr>
          <w:rFonts w:ascii="Roboto" w:hAnsi="Roboto"/>
        </w:rPr>
      </w:pPr>
      <w:r w:rsidRPr="007C6C48">
        <w:rPr>
          <w:rFonts w:ascii="Roboto" w:hAnsi="Roboto"/>
          <w:noProof/>
        </w:rPr>
        <w:drawing>
          <wp:inline distT="0" distB="0" distL="0" distR="0" wp14:anchorId="7E53C974" wp14:editId="21EC7B01">
            <wp:extent cx="2880000" cy="2688387"/>
            <wp:effectExtent l="0" t="0" r="0" b="0"/>
            <wp:docPr id="726630669" name="Picture 1" descr="A graph of a graph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6630669" name="Picture 1" descr="A graph of a graph of a graph&#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2880000" cy="2688387"/>
                    </a:xfrm>
                    <a:prstGeom prst="rect">
                      <a:avLst/>
                    </a:prstGeom>
                  </pic:spPr>
                </pic:pic>
              </a:graphicData>
            </a:graphic>
          </wp:inline>
        </w:drawing>
      </w:r>
    </w:p>
    <w:p w14:paraId="7A0589E4" w14:textId="0BEC8E8A" w:rsidR="006829FE" w:rsidRPr="007C6C48" w:rsidRDefault="006829FE" w:rsidP="006829FE">
      <w:pPr>
        <w:pStyle w:val="Caption"/>
        <w:jc w:val="both"/>
        <w:rPr>
          <w:rFonts w:ascii="Roboto" w:hAnsi="Roboto"/>
          <w:color w:val="auto"/>
          <w:sz w:val="24"/>
          <w:szCs w:val="24"/>
        </w:rPr>
      </w:pPr>
      <w:bookmarkStart w:id="20" w:name="_Ref199272647"/>
      <w:r w:rsidRPr="007C6C48">
        <w:rPr>
          <w:rFonts w:ascii="Roboto" w:hAnsi="Roboto"/>
          <w:color w:val="auto"/>
          <w:sz w:val="24"/>
          <w:szCs w:val="24"/>
        </w:rPr>
        <w:t>Figure S</w:t>
      </w:r>
      <w:r w:rsidRPr="007C6C48">
        <w:rPr>
          <w:rFonts w:ascii="Roboto" w:hAnsi="Roboto"/>
          <w:color w:val="auto"/>
          <w:sz w:val="24"/>
          <w:szCs w:val="24"/>
        </w:rPr>
        <w:fldChar w:fldCharType="begin"/>
      </w:r>
      <w:r w:rsidRPr="007C6C48">
        <w:rPr>
          <w:rFonts w:ascii="Roboto" w:hAnsi="Roboto"/>
          <w:color w:val="auto"/>
          <w:sz w:val="24"/>
          <w:szCs w:val="24"/>
        </w:rPr>
        <w:instrText xml:space="preserve"> SEQ Figure \* ARABIC </w:instrText>
      </w:r>
      <w:r w:rsidRPr="007C6C48">
        <w:rPr>
          <w:rFonts w:ascii="Roboto" w:hAnsi="Roboto"/>
          <w:color w:val="auto"/>
          <w:sz w:val="24"/>
          <w:szCs w:val="24"/>
        </w:rPr>
        <w:fldChar w:fldCharType="separate"/>
      </w:r>
      <w:r w:rsidRPr="007C6C48">
        <w:rPr>
          <w:rFonts w:ascii="Roboto" w:hAnsi="Roboto"/>
          <w:noProof/>
          <w:color w:val="auto"/>
          <w:sz w:val="24"/>
          <w:szCs w:val="24"/>
        </w:rPr>
        <w:t>4</w:t>
      </w:r>
      <w:r w:rsidRPr="007C6C48">
        <w:rPr>
          <w:rFonts w:ascii="Roboto" w:hAnsi="Roboto"/>
          <w:color w:val="auto"/>
          <w:sz w:val="24"/>
          <w:szCs w:val="24"/>
        </w:rPr>
        <w:fldChar w:fldCharType="end"/>
      </w:r>
      <w:bookmarkEnd w:id="20"/>
      <w:r w:rsidRPr="007C6C48">
        <w:rPr>
          <w:rFonts w:ascii="Roboto" w:hAnsi="Roboto"/>
          <w:color w:val="auto"/>
          <w:sz w:val="24"/>
          <w:szCs w:val="24"/>
        </w:rPr>
        <w:t>. Isobars for melt H</w:t>
      </w:r>
      <w:r w:rsidRPr="007C6C48">
        <w:rPr>
          <w:rFonts w:ascii="Roboto" w:hAnsi="Roboto"/>
          <w:color w:val="auto"/>
          <w:sz w:val="24"/>
          <w:szCs w:val="24"/>
          <w:vertAlign w:val="subscript"/>
        </w:rPr>
        <w:t>2</w:t>
      </w:r>
      <w:r w:rsidRPr="007C6C48">
        <w:rPr>
          <w:rFonts w:ascii="Roboto" w:hAnsi="Roboto"/>
          <w:color w:val="auto"/>
          <w:sz w:val="24"/>
          <w:szCs w:val="24"/>
        </w:rPr>
        <w:t>O and CO</w:t>
      </w:r>
      <w:r w:rsidRPr="007C6C48">
        <w:rPr>
          <w:rFonts w:ascii="Roboto" w:hAnsi="Roboto"/>
          <w:color w:val="auto"/>
          <w:sz w:val="24"/>
          <w:szCs w:val="24"/>
          <w:vertAlign w:val="subscript"/>
        </w:rPr>
        <w:t>2</w:t>
      </w:r>
      <w:r w:rsidRPr="007C6C48">
        <w:rPr>
          <w:rFonts w:ascii="Roboto" w:hAnsi="Roboto"/>
          <w:color w:val="auto"/>
          <w:sz w:val="24"/>
          <w:szCs w:val="24"/>
        </w:rPr>
        <w:t xml:space="preserve"> at </w:t>
      </w:r>
      <w:r w:rsidRPr="007C6C48">
        <w:rPr>
          <w:rFonts w:ascii="Roboto" w:hAnsi="Roboto"/>
          <w:i/>
          <w:iCs w:val="0"/>
          <w:color w:val="auto"/>
          <w:sz w:val="24"/>
          <w:szCs w:val="24"/>
        </w:rPr>
        <w:t>P</w:t>
      </w:r>
      <w:r w:rsidRPr="007C6C48">
        <w:rPr>
          <w:rFonts w:ascii="Roboto" w:hAnsi="Roboto"/>
          <w:color w:val="auto"/>
          <w:sz w:val="24"/>
          <w:szCs w:val="24"/>
        </w:rPr>
        <w:t xml:space="preserve"> = 500, 1000, 1500, and 2000 bar calculated for the melt composition shown in </w:t>
      </w:r>
      <w:r w:rsidRPr="007C6C48">
        <w:rPr>
          <w:rFonts w:ascii="Roboto" w:hAnsi="Roboto"/>
          <w:color w:val="auto"/>
          <w:sz w:val="24"/>
          <w:szCs w:val="24"/>
        </w:rPr>
        <w:fldChar w:fldCharType="begin"/>
      </w:r>
      <w:r w:rsidRPr="007C6C48">
        <w:rPr>
          <w:rFonts w:ascii="Roboto" w:hAnsi="Roboto"/>
          <w:color w:val="auto"/>
          <w:sz w:val="24"/>
          <w:szCs w:val="24"/>
        </w:rPr>
        <w:instrText xml:space="preserve"> REF _Ref189339433 \h  \* MERGEFORMAT </w:instrText>
      </w:r>
      <w:r w:rsidRPr="007C6C48">
        <w:rPr>
          <w:rFonts w:ascii="Roboto" w:hAnsi="Roboto"/>
          <w:color w:val="auto"/>
          <w:sz w:val="24"/>
          <w:szCs w:val="24"/>
        </w:rPr>
      </w:r>
      <w:r w:rsidRPr="007C6C48">
        <w:rPr>
          <w:rFonts w:ascii="Roboto" w:hAnsi="Roboto"/>
          <w:color w:val="auto"/>
          <w:sz w:val="24"/>
          <w:szCs w:val="24"/>
        </w:rPr>
        <w:fldChar w:fldCharType="separate"/>
      </w:r>
      <w:r w:rsidRPr="007C6C48">
        <w:rPr>
          <w:rFonts w:ascii="Roboto" w:hAnsi="Roboto"/>
          <w:color w:val="auto"/>
          <w:sz w:val="24"/>
          <w:szCs w:val="24"/>
        </w:rPr>
        <w:t>Table S</w:t>
      </w:r>
      <w:r w:rsidRPr="007C6C48">
        <w:rPr>
          <w:rFonts w:ascii="Roboto" w:hAnsi="Roboto"/>
          <w:noProof/>
          <w:color w:val="auto"/>
          <w:sz w:val="24"/>
          <w:szCs w:val="24"/>
        </w:rPr>
        <w:t>12</w:t>
      </w:r>
      <w:r w:rsidRPr="007C6C48">
        <w:rPr>
          <w:rFonts w:ascii="Roboto" w:hAnsi="Roboto"/>
          <w:color w:val="auto"/>
          <w:sz w:val="24"/>
          <w:szCs w:val="24"/>
        </w:rPr>
        <w:fldChar w:fldCharType="end"/>
      </w:r>
      <w:r w:rsidRPr="007C6C48">
        <w:rPr>
          <w:rFonts w:ascii="Roboto" w:hAnsi="Roboto"/>
          <w:color w:val="auto"/>
          <w:sz w:val="24"/>
          <w:szCs w:val="24"/>
        </w:rPr>
        <w:t>. The blue solid curve uses VolFe, whilst the black curves use the Dixon model in VESIcal with a normalised (solid) or no normalisation (dashed) melt composition</w:t>
      </w:r>
      <w:bookmarkEnd w:id="18"/>
      <w:r w:rsidRPr="007C6C48">
        <w:rPr>
          <w:rFonts w:ascii="Roboto" w:hAnsi="Roboto"/>
          <w:color w:val="auto"/>
          <w:sz w:val="24"/>
          <w:szCs w:val="24"/>
        </w:rPr>
        <w:t>.</w:t>
      </w:r>
    </w:p>
    <w:p w14:paraId="6D3D6D95" w14:textId="2425515B" w:rsidR="006829FE" w:rsidRPr="007C6C48" w:rsidRDefault="006829FE" w:rsidP="006829FE">
      <w:pPr>
        <w:rPr>
          <w:rFonts w:ascii="Roboto" w:hAnsi="Roboto"/>
          <w:lang w:val="en-NZ"/>
        </w:rPr>
      </w:pPr>
      <w:bookmarkStart w:id="21" w:name="_Hlk199273137"/>
      <w:r w:rsidRPr="007C6C48">
        <w:rPr>
          <w:rFonts w:ascii="Roboto" w:hAnsi="Roboto"/>
          <w:lang w:val="en-NZ"/>
        </w:rPr>
        <w:t xml:space="preserve">Model options for VolFe are chosen to be as close to the Dixon model as implemented in VESIcal (all others are the default options, as shown in </w:t>
      </w:r>
      <w:r w:rsidRPr="007C6C48">
        <w:rPr>
          <w:rFonts w:ascii="Roboto" w:hAnsi="Roboto"/>
          <w:lang w:val="en-NZ"/>
        </w:rPr>
        <w:fldChar w:fldCharType="begin"/>
      </w:r>
      <w:r w:rsidRPr="007C6C48">
        <w:rPr>
          <w:rFonts w:ascii="Roboto" w:hAnsi="Roboto"/>
          <w:lang w:val="en-NZ"/>
        </w:rPr>
        <w:instrText xml:space="preserve"> REF _Ref161420680 \h </w:instrText>
      </w:r>
      <w:r w:rsidRPr="007C6C48">
        <w:rPr>
          <w:rFonts w:ascii="Roboto" w:hAnsi="Roboto"/>
          <w:lang w:val="en-NZ"/>
        </w:rPr>
      </w:r>
      <w:r w:rsidR="007C6C48">
        <w:rPr>
          <w:rFonts w:ascii="Roboto" w:hAnsi="Roboto"/>
          <w:lang w:val="en-NZ"/>
        </w:rPr>
        <w:instrText xml:space="preserve"> \* MERGEFORMAT </w:instrText>
      </w:r>
      <w:r w:rsidRPr="007C6C48">
        <w:rPr>
          <w:rFonts w:ascii="Roboto" w:hAnsi="Roboto"/>
          <w:lang w:val="en-NZ"/>
        </w:rPr>
        <w:fldChar w:fldCharType="separate"/>
      </w:r>
      <w:r w:rsidRPr="007C6C48">
        <w:rPr>
          <w:rFonts w:ascii="Roboto" w:hAnsi="Roboto"/>
        </w:rPr>
        <w:t>Table S</w:t>
      </w:r>
      <w:r w:rsidRPr="007C6C48">
        <w:rPr>
          <w:rFonts w:ascii="Roboto" w:hAnsi="Roboto"/>
          <w:noProof/>
        </w:rPr>
        <w:t>13</w:t>
      </w:r>
      <w:r w:rsidRPr="007C6C48">
        <w:rPr>
          <w:rFonts w:ascii="Roboto" w:hAnsi="Roboto"/>
          <w:lang w:val="en-NZ"/>
        </w:rPr>
        <w:fldChar w:fldCharType="end"/>
      </w:r>
      <w:r w:rsidRPr="007C6C48">
        <w:rPr>
          <w:rFonts w:ascii="Roboto" w:hAnsi="Roboto"/>
          <w:lang w:val="en-NZ"/>
        </w:rPr>
        <w:t>):</w:t>
      </w:r>
    </w:p>
    <w:p w14:paraId="68A1F054" w14:textId="19C4DFF8" w:rsidR="006829FE" w:rsidRPr="007C6C48" w:rsidRDefault="006829FE" w:rsidP="00D03159">
      <w:pPr>
        <w:pStyle w:val="ListParagraph"/>
        <w:numPr>
          <w:ilvl w:val="0"/>
          <w:numId w:val="4"/>
        </w:numPr>
        <w:rPr>
          <w:rFonts w:ascii="Roboto" w:hAnsi="Roboto"/>
          <w:lang w:val="en-NZ"/>
        </w:rPr>
      </w:pPr>
      <w:r w:rsidRPr="007C6C48">
        <w:rPr>
          <w:rFonts w:ascii="Roboto" w:hAnsi="Roboto"/>
          <w:lang w:val="en-NZ"/>
        </w:rPr>
        <w:t>Only CO</w:t>
      </w:r>
      <w:r w:rsidRPr="007C6C48">
        <w:rPr>
          <w:rFonts w:ascii="Roboto" w:hAnsi="Roboto"/>
          <w:vertAlign w:val="subscript"/>
          <w:lang w:val="en-NZ"/>
        </w:rPr>
        <w:t>2</w:t>
      </w:r>
      <w:r w:rsidRPr="007C6C48">
        <w:rPr>
          <w:rFonts w:ascii="Roboto" w:hAnsi="Roboto"/>
          <w:lang w:val="en-NZ"/>
        </w:rPr>
        <w:t xml:space="preserve"> and H</w:t>
      </w:r>
      <w:r w:rsidRPr="007C6C48">
        <w:rPr>
          <w:rFonts w:ascii="Roboto" w:hAnsi="Roboto"/>
          <w:vertAlign w:val="subscript"/>
          <w:lang w:val="en-NZ"/>
        </w:rPr>
        <w:t>2</w:t>
      </w:r>
      <w:r w:rsidRPr="007C6C48">
        <w:rPr>
          <w:rFonts w:ascii="Roboto" w:hAnsi="Roboto"/>
          <w:lang w:val="en-NZ"/>
        </w:rPr>
        <w:t>O species are present in the melt and vapor, as in VESIcal</w:t>
      </w:r>
      <w:r w:rsidR="000229A8" w:rsidRPr="007C6C48">
        <w:rPr>
          <w:rFonts w:ascii="Roboto" w:hAnsi="Roboto"/>
          <w:lang w:val="en-NZ"/>
        </w:rPr>
        <w:t>.</w:t>
      </w:r>
    </w:p>
    <w:p w14:paraId="278DA274" w14:textId="6DD0A11A" w:rsidR="006829FE" w:rsidRPr="007C6C48" w:rsidRDefault="006829FE" w:rsidP="00D03159">
      <w:pPr>
        <w:pStyle w:val="ListParagraph"/>
        <w:numPr>
          <w:ilvl w:val="0"/>
          <w:numId w:val="4"/>
        </w:numPr>
        <w:rPr>
          <w:rFonts w:ascii="Roboto" w:hAnsi="Roboto"/>
          <w:lang w:val="en-NZ"/>
        </w:rPr>
      </w:pPr>
      <w:r w:rsidRPr="007C6C48">
        <w:rPr>
          <w:rFonts w:ascii="Roboto" w:hAnsi="Roboto"/>
          <w:lang w:val="en-NZ"/>
        </w:rPr>
        <w:t>The CO</w:t>
      </w:r>
      <w:r w:rsidRPr="007C6C48">
        <w:rPr>
          <w:rFonts w:ascii="Roboto" w:hAnsi="Roboto"/>
          <w:vertAlign w:val="subscript"/>
          <w:lang w:val="en-NZ"/>
        </w:rPr>
        <w:t>2</w:t>
      </w:r>
      <w:r w:rsidRPr="007C6C48">
        <w:rPr>
          <w:rFonts w:ascii="Roboto" w:hAnsi="Roboto"/>
          <w:lang w:val="en-NZ"/>
        </w:rPr>
        <w:t xml:space="preserve"> solubility function is 'NorthArchBasalt_Dixon97' (eq. 8 from Dixon, 1997), which is the same model as the Dixon model of VESIcal</w:t>
      </w:r>
      <w:r w:rsidR="000229A8" w:rsidRPr="007C6C48">
        <w:rPr>
          <w:rFonts w:ascii="Roboto" w:hAnsi="Roboto"/>
          <w:lang w:val="en-NZ"/>
        </w:rPr>
        <w:t>.</w:t>
      </w:r>
    </w:p>
    <w:p w14:paraId="7F9E111B" w14:textId="5C006845" w:rsidR="006829FE" w:rsidRPr="007C6C48" w:rsidRDefault="006829FE" w:rsidP="00D03159">
      <w:pPr>
        <w:pStyle w:val="ListParagraph"/>
        <w:numPr>
          <w:ilvl w:val="0"/>
          <w:numId w:val="4"/>
        </w:numPr>
        <w:rPr>
          <w:rFonts w:ascii="Roboto" w:hAnsi="Roboto"/>
          <w:lang w:val="en-NZ"/>
        </w:rPr>
      </w:pPr>
      <w:r w:rsidRPr="007C6C48">
        <w:rPr>
          <w:rFonts w:ascii="Roboto" w:hAnsi="Roboto"/>
          <w:lang w:val="en-NZ"/>
        </w:rPr>
        <w:t>The fugacity models of CO</w:t>
      </w:r>
      <w:r w:rsidRPr="007C6C48">
        <w:rPr>
          <w:rFonts w:ascii="Roboto" w:hAnsi="Roboto"/>
          <w:vertAlign w:val="subscript"/>
          <w:lang w:val="en-NZ"/>
        </w:rPr>
        <w:t>2</w:t>
      </w:r>
      <w:r w:rsidRPr="007C6C48">
        <w:rPr>
          <w:rFonts w:ascii="Roboto" w:hAnsi="Roboto"/>
          <w:lang w:val="en-NZ"/>
        </w:rPr>
        <w:t xml:space="preserve"> and H</w:t>
      </w:r>
      <w:r w:rsidRPr="007C6C48">
        <w:rPr>
          <w:rFonts w:ascii="Roboto" w:hAnsi="Roboto"/>
          <w:vertAlign w:val="subscript"/>
          <w:lang w:val="en-NZ"/>
        </w:rPr>
        <w:t>2</w:t>
      </w:r>
      <w:r w:rsidRPr="007C6C48">
        <w:rPr>
          <w:rFonts w:ascii="Roboto" w:hAnsi="Roboto"/>
          <w:lang w:val="en-NZ"/>
        </w:rPr>
        <w:t>O are the Flower's (1979) correction of Holloway (1977), which is the same model as in VESIcal</w:t>
      </w:r>
      <w:r w:rsidR="000229A8" w:rsidRPr="007C6C48">
        <w:rPr>
          <w:rFonts w:ascii="Roboto" w:hAnsi="Roboto"/>
          <w:lang w:val="en-NZ"/>
        </w:rPr>
        <w:t>.</w:t>
      </w:r>
    </w:p>
    <w:p w14:paraId="698EE22E" w14:textId="297C35F5" w:rsidR="006829FE" w:rsidRPr="007C6C48" w:rsidRDefault="006829FE" w:rsidP="006829FE">
      <w:pPr>
        <w:rPr>
          <w:rFonts w:ascii="Roboto" w:hAnsi="Roboto"/>
          <w:lang w:val="en-NZ"/>
        </w:rPr>
      </w:pPr>
      <w:r w:rsidRPr="007C6C48">
        <w:rPr>
          <w:rFonts w:ascii="Roboto" w:hAnsi="Roboto"/>
          <w:lang w:val="en-NZ"/>
        </w:rPr>
        <w:t>The key difference is that VolFe only considers total H</w:t>
      </w:r>
      <w:r w:rsidRPr="007C6C48">
        <w:rPr>
          <w:rFonts w:ascii="Roboto" w:hAnsi="Roboto"/>
          <w:vertAlign w:val="subscript"/>
          <w:lang w:val="en-NZ"/>
        </w:rPr>
        <w:t>2</w:t>
      </w:r>
      <w:r w:rsidRPr="007C6C48">
        <w:rPr>
          <w:rFonts w:ascii="Roboto" w:hAnsi="Roboto"/>
          <w:lang w:val="en-NZ"/>
        </w:rPr>
        <w:t>O (H</w:t>
      </w:r>
      <w:r w:rsidRPr="007C6C48">
        <w:rPr>
          <w:rFonts w:ascii="Roboto" w:hAnsi="Roboto"/>
          <w:vertAlign w:val="subscript"/>
          <w:lang w:val="en-NZ"/>
        </w:rPr>
        <w:t>2</w:t>
      </w:r>
      <w:r w:rsidRPr="007C6C48">
        <w:rPr>
          <w:rFonts w:ascii="Roboto" w:hAnsi="Roboto"/>
          <w:lang w:val="en-NZ"/>
        </w:rPr>
        <w:t>O</w:t>
      </w:r>
      <w:r w:rsidRPr="007C6C48">
        <w:rPr>
          <w:rFonts w:ascii="Roboto" w:hAnsi="Roboto"/>
          <w:vertAlign w:val="subscript"/>
          <w:lang w:val="en-NZ"/>
        </w:rPr>
        <w:t>T</w:t>
      </w:r>
      <w:r w:rsidRPr="007C6C48">
        <w:rPr>
          <w:rFonts w:ascii="Roboto" w:hAnsi="Roboto"/>
          <w:lang w:val="en-NZ"/>
        </w:rPr>
        <w:t>), whereas the Dixon model in VESIcal considers a regular solution of OH</w:t>
      </w:r>
      <w:r w:rsidRPr="007C6C48">
        <w:rPr>
          <w:rFonts w:ascii="Roboto" w:hAnsi="Roboto"/>
          <w:vertAlign w:val="superscript"/>
          <w:lang w:val="en-NZ"/>
        </w:rPr>
        <w:t>-</w:t>
      </w:r>
      <w:r w:rsidRPr="007C6C48">
        <w:rPr>
          <w:rFonts w:ascii="Roboto" w:hAnsi="Roboto"/>
          <w:lang w:val="en-NZ"/>
        </w:rPr>
        <w:t xml:space="preserve"> and H</w:t>
      </w:r>
      <w:r w:rsidRPr="007C6C48">
        <w:rPr>
          <w:rFonts w:ascii="Roboto" w:hAnsi="Roboto"/>
          <w:vertAlign w:val="subscript"/>
          <w:lang w:val="en-NZ"/>
        </w:rPr>
        <w:t>2</w:t>
      </w:r>
      <w:r w:rsidRPr="007C6C48">
        <w:rPr>
          <w:rFonts w:ascii="Roboto" w:hAnsi="Roboto"/>
          <w:lang w:val="en-NZ"/>
        </w:rPr>
        <w:t>O</w:t>
      </w:r>
      <w:r w:rsidRPr="007C6C48">
        <w:rPr>
          <w:rFonts w:ascii="Roboto" w:hAnsi="Roboto"/>
          <w:vertAlign w:val="subscript"/>
          <w:lang w:val="en-NZ"/>
        </w:rPr>
        <w:t>mol</w:t>
      </w:r>
      <w:r w:rsidRPr="007C6C48">
        <w:rPr>
          <w:rFonts w:ascii="Roboto" w:hAnsi="Roboto"/>
          <w:lang w:val="en-NZ"/>
        </w:rPr>
        <w:t>. Therefore, the water models are quite different. The VolFe (blue solid) results agree well for CO</w:t>
      </w:r>
      <w:r w:rsidRPr="007C6C48">
        <w:rPr>
          <w:rFonts w:ascii="Roboto" w:hAnsi="Roboto"/>
          <w:vertAlign w:val="subscript"/>
          <w:lang w:val="en-NZ"/>
        </w:rPr>
        <w:t>2</w:t>
      </w:r>
      <w:r w:rsidRPr="007C6C48">
        <w:rPr>
          <w:rFonts w:ascii="Roboto" w:hAnsi="Roboto"/>
          <w:lang w:val="en-NZ"/>
        </w:rPr>
        <w:t xml:space="preserve"> solubility when Dixon in VESIcal uses the normalised composition (black </w:t>
      </w:r>
      <w:r w:rsidR="000229A8" w:rsidRPr="007C6C48">
        <w:rPr>
          <w:rFonts w:ascii="Roboto" w:hAnsi="Roboto"/>
          <w:lang w:val="en-NZ"/>
        </w:rPr>
        <w:t>solid</w:t>
      </w:r>
      <w:r w:rsidRPr="007C6C48">
        <w:rPr>
          <w:rFonts w:ascii="Roboto" w:hAnsi="Roboto"/>
          <w:lang w:val="en-NZ"/>
        </w:rPr>
        <w:t xml:space="preserve">) but are very different when </w:t>
      </w:r>
      <w:r w:rsidR="000229A8" w:rsidRPr="007C6C48">
        <w:rPr>
          <w:rFonts w:ascii="Roboto" w:hAnsi="Roboto"/>
          <w:lang w:val="en-NZ"/>
        </w:rPr>
        <w:t>VESIcal</w:t>
      </w:r>
      <w:r w:rsidRPr="007C6C48">
        <w:rPr>
          <w:rFonts w:ascii="Roboto" w:hAnsi="Roboto"/>
          <w:lang w:val="en-NZ"/>
        </w:rPr>
        <w:t xml:space="preserve"> use the inputted composition as is (i.e., no </w:t>
      </w:r>
      <w:r w:rsidRPr="007C6C48">
        <w:rPr>
          <w:rFonts w:ascii="Roboto" w:hAnsi="Roboto"/>
          <w:lang w:val="en-NZ"/>
        </w:rPr>
        <w:lastRenderedPageBreak/>
        <w:t>normalisation</w:t>
      </w:r>
      <w:r w:rsidR="000229A8" w:rsidRPr="007C6C48">
        <w:rPr>
          <w:rFonts w:ascii="Roboto" w:hAnsi="Roboto"/>
          <w:lang w:val="en-NZ"/>
        </w:rPr>
        <w:t>:</w:t>
      </w:r>
      <w:r w:rsidRPr="007C6C48">
        <w:rPr>
          <w:rFonts w:ascii="Roboto" w:hAnsi="Roboto"/>
          <w:lang w:val="en-NZ"/>
        </w:rPr>
        <w:t xml:space="preserve"> black dashed), highlighting the importance of understanding whether normalisation has been applied or not. The water solubility models are different and diverge more and more with higher pressure. The shapes of the curves are similar given these differences, suggesting the calculations are consistent</w:t>
      </w:r>
      <w:r w:rsidR="000229A8" w:rsidRPr="007C6C48">
        <w:rPr>
          <w:rFonts w:ascii="Roboto" w:hAnsi="Roboto"/>
          <w:lang w:val="en-NZ"/>
        </w:rPr>
        <w:t xml:space="preserve"> aside from model dependent variable differences</w:t>
      </w:r>
      <w:r w:rsidRPr="007C6C48">
        <w:rPr>
          <w:rFonts w:ascii="Roboto" w:hAnsi="Roboto"/>
          <w:lang w:val="en-NZ"/>
        </w:rPr>
        <w:t>.</w:t>
      </w:r>
      <w:bookmarkEnd w:id="19"/>
    </w:p>
    <w:bookmarkEnd w:id="21"/>
    <w:p w14:paraId="3D19901B" w14:textId="77777777" w:rsidR="006829FE" w:rsidRPr="007C6C48" w:rsidRDefault="006829FE" w:rsidP="0058021C">
      <w:pPr>
        <w:jc w:val="both"/>
        <w:rPr>
          <w:rFonts w:ascii="Roboto" w:hAnsi="Roboto"/>
        </w:rPr>
      </w:pPr>
    </w:p>
    <w:p w14:paraId="35E61CD7" w14:textId="53190A99" w:rsidR="0016716F" w:rsidRPr="007C6C48" w:rsidRDefault="00085EAF" w:rsidP="0016716F">
      <w:pPr>
        <w:pStyle w:val="Heading1"/>
        <w:rPr>
          <w:rFonts w:ascii="Roboto" w:hAnsi="Roboto"/>
        </w:rPr>
      </w:pPr>
      <w:r w:rsidRPr="007C6C48">
        <w:rPr>
          <w:rFonts w:ascii="Roboto" w:hAnsi="Roboto"/>
        </w:rPr>
        <w:t>R</w:t>
      </w:r>
      <w:r w:rsidR="0016716F" w:rsidRPr="007C6C48">
        <w:rPr>
          <w:rFonts w:ascii="Roboto" w:hAnsi="Roboto"/>
        </w:rPr>
        <w:t>eference table for calculations</w:t>
      </w:r>
    </w:p>
    <w:p w14:paraId="57ED46A3" w14:textId="02B872F1" w:rsidR="0016716F" w:rsidRPr="007C6C48" w:rsidRDefault="0016716F" w:rsidP="0016716F">
      <w:pPr>
        <w:pStyle w:val="NoSpacing"/>
        <w:spacing w:after="0"/>
        <w:rPr>
          <w:rFonts w:ascii="Roboto" w:hAnsi="Roboto"/>
        </w:rPr>
      </w:pPr>
      <w:bookmarkStart w:id="22" w:name="_Ref161420680"/>
      <w:r w:rsidRPr="007C6C48">
        <w:rPr>
          <w:rFonts w:ascii="Roboto" w:hAnsi="Roboto"/>
        </w:rPr>
        <w:t>Table S</w:t>
      </w:r>
      <w:r w:rsidR="006A647B" w:rsidRPr="007C6C48">
        <w:rPr>
          <w:rFonts w:ascii="Roboto" w:hAnsi="Roboto"/>
        </w:rPr>
        <w:fldChar w:fldCharType="begin"/>
      </w:r>
      <w:r w:rsidR="006A647B" w:rsidRPr="007C6C48">
        <w:rPr>
          <w:rFonts w:ascii="Roboto" w:hAnsi="Roboto"/>
        </w:rPr>
        <w:instrText xml:space="preserve"> SEQ Table \* ARABIC </w:instrText>
      </w:r>
      <w:r w:rsidR="006A647B" w:rsidRPr="007C6C48">
        <w:rPr>
          <w:rFonts w:ascii="Roboto" w:hAnsi="Roboto"/>
        </w:rPr>
        <w:fldChar w:fldCharType="separate"/>
      </w:r>
      <w:r w:rsidR="006A647B" w:rsidRPr="007C6C48">
        <w:rPr>
          <w:rFonts w:ascii="Roboto" w:hAnsi="Roboto"/>
          <w:noProof/>
        </w:rPr>
        <w:t>13</w:t>
      </w:r>
      <w:r w:rsidR="006A647B" w:rsidRPr="007C6C48">
        <w:rPr>
          <w:rFonts w:ascii="Roboto" w:hAnsi="Roboto"/>
          <w:noProof/>
        </w:rPr>
        <w:fldChar w:fldCharType="end"/>
      </w:r>
      <w:bookmarkEnd w:id="22"/>
      <w:r w:rsidRPr="007C6C48">
        <w:rPr>
          <w:rFonts w:ascii="Roboto" w:hAnsi="Roboto"/>
          <w:i/>
          <w:iCs/>
        </w:rPr>
        <w:t>.</w:t>
      </w:r>
      <w:r w:rsidRPr="007C6C48">
        <w:rPr>
          <w:rFonts w:ascii="Roboto" w:hAnsi="Roboto"/>
        </w:rPr>
        <w:t xml:space="preserve"> Parameterisations used for model dependent variables in calculations using VolFe</w:t>
      </w:r>
      <w:r w:rsidR="00704447" w:rsidRPr="007C6C48">
        <w:rPr>
          <w:rFonts w:ascii="Roboto" w:hAnsi="Roboto"/>
        </w:rPr>
        <w:t xml:space="preserve"> shown in the main text</w:t>
      </w:r>
      <w:r w:rsidRPr="007C6C48">
        <w:rPr>
          <w:rFonts w:ascii="Roboto" w:hAnsi="Roboto"/>
        </w:rPr>
        <w:t>.</w:t>
      </w:r>
    </w:p>
    <w:tbl>
      <w:tblPr>
        <w:tblStyle w:val="TableGrid"/>
        <w:tblW w:w="0" w:type="auto"/>
        <w:tblLook w:val="04A0" w:firstRow="1" w:lastRow="0" w:firstColumn="1" w:lastColumn="0" w:noHBand="0" w:noVBand="1"/>
      </w:tblPr>
      <w:tblGrid>
        <w:gridCol w:w="3161"/>
        <w:gridCol w:w="5855"/>
      </w:tblGrid>
      <w:tr w:rsidR="0016716F" w:rsidRPr="007C6C48" w14:paraId="4B3ED8D9" w14:textId="77777777" w:rsidTr="00B061FC">
        <w:tc>
          <w:tcPr>
            <w:tcW w:w="3161" w:type="dxa"/>
          </w:tcPr>
          <w:p w14:paraId="44BBAF96" w14:textId="77777777" w:rsidR="0016716F" w:rsidRPr="007C6C48" w:rsidRDefault="0016716F" w:rsidP="00B061FC">
            <w:pPr>
              <w:pStyle w:val="NoSpacing"/>
              <w:spacing w:after="0"/>
              <w:rPr>
                <w:rFonts w:ascii="Roboto" w:hAnsi="Roboto"/>
              </w:rPr>
            </w:pPr>
            <w:r w:rsidRPr="007C6C48">
              <w:rPr>
                <w:rFonts w:ascii="Roboto" w:hAnsi="Roboto"/>
              </w:rPr>
              <w:t>Model dependent variable</w:t>
            </w:r>
          </w:p>
        </w:tc>
        <w:tc>
          <w:tcPr>
            <w:tcW w:w="5855" w:type="dxa"/>
          </w:tcPr>
          <w:p w14:paraId="6F4BD532" w14:textId="77777777" w:rsidR="0016716F" w:rsidRPr="007C6C48" w:rsidRDefault="0016716F" w:rsidP="00B061FC">
            <w:pPr>
              <w:pStyle w:val="NoSpacing"/>
              <w:spacing w:after="0"/>
              <w:rPr>
                <w:rFonts w:ascii="Roboto" w:hAnsi="Roboto"/>
              </w:rPr>
            </w:pPr>
            <w:r w:rsidRPr="007C6C48">
              <w:rPr>
                <w:rFonts w:ascii="Roboto" w:hAnsi="Roboto"/>
              </w:rPr>
              <w:t>Reference</w:t>
            </w:r>
          </w:p>
        </w:tc>
      </w:tr>
      <w:tr w:rsidR="00563332" w:rsidRPr="007C6C48" w14:paraId="5073C6CB" w14:textId="77777777" w:rsidTr="00B061FC">
        <w:tc>
          <w:tcPr>
            <w:tcW w:w="3161" w:type="dxa"/>
          </w:tcPr>
          <w:p w14:paraId="4511D612" w14:textId="77777777" w:rsidR="00563332" w:rsidRPr="007C6C48" w:rsidRDefault="00563332" w:rsidP="00563332">
            <w:pPr>
              <w:pStyle w:val="NoSpacing"/>
              <w:spacing w:after="0"/>
              <w:rPr>
                <w:rFonts w:ascii="Roboto" w:hAnsi="Roboto"/>
              </w:rPr>
            </w:pPr>
            <w:r w:rsidRPr="007C6C48">
              <w:rPr>
                <w:rFonts w:ascii="Roboto" w:hAnsi="Roboto"/>
              </w:rPr>
              <w:t>O</w:t>
            </w:r>
            <w:r w:rsidRPr="007C6C48">
              <w:rPr>
                <w:rFonts w:ascii="Roboto" w:hAnsi="Roboto"/>
                <w:vertAlign w:val="subscript"/>
              </w:rPr>
              <w:t>2</w:t>
            </w:r>
            <w:r w:rsidRPr="007C6C48">
              <w:rPr>
                <w:rFonts w:ascii="Roboto" w:hAnsi="Roboto"/>
              </w:rPr>
              <w:t xml:space="preserve"> fugacity coefficient</w:t>
            </w:r>
          </w:p>
        </w:tc>
        <w:tc>
          <w:tcPr>
            <w:tcW w:w="5855" w:type="dxa"/>
          </w:tcPr>
          <w:p w14:paraId="584E5731" w14:textId="56D743BF" w:rsidR="00563332" w:rsidRPr="007C6C48" w:rsidRDefault="00563332"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3A3BEAFD" w14:textId="77777777" w:rsidTr="00B061FC">
        <w:tc>
          <w:tcPr>
            <w:tcW w:w="3161" w:type="dxa"/>
          </w:tcPr>
          <w:p w14:paraId="049E4B57" w14:textId="77777777" w:rsidR="00563332" w:rsidRPr="007C6C48" w:rsidRDefault="00563332" w:rsidP="00563332">
            <w:pPr>
              <w:pStyle w:val="NoSpacing"/>
              <w:spacing w:after="0"/>
              <w:rPr>
                <w:rFonts w:ascii="Roboto" w:hAnsi="Roboto"/>
              </w:rPr>
            </w:pPr>
            <w:r w:rsidRPr="007C6C48">
              <w:rPr>
                <w:rFonts w:ascii="Roboto" w:hAnsi="Roboto"/>
              </w:rPr>
              <w:t>CO fugacity coefficient</w:t>
            </w:r>
          </w:p>
        </w:tc>
        <w:tc>
          <w:tcPr>
            <w:tcW w:w="5855" w:type="dxa"/>
          </w:tcPr>
          <w:p w14:paraId="47BD0A2B" w14:textId="4A3F7ECC" w:rsidR="00563332" w:rsidRPr="007C6C48" w:rsidRDefault="00563332" w:rsidP="00563332">
            <w:pPr>
              <w:pStyle w:val="NoSpacing"/>
              <w:spacing w:after="0"/>
              <w:rPr>
                <w:rFonts w:ascii="Roboto" w:hAnsi="Roboto"/>
                <w:color w:val="4472C4" w:themeColor="accen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1E48B837" w14:textId="77777777" w:rsidTr="00B061FC">
        <w:tc>
          <w:tcPr>
            <w:tcW w:w="3161" w:type="dxa"/>
          </w:tcPr>
          <w:p w14:paraId="27B2BDCF" w14:textId="77777777"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 xml:space="preserve"> fugacity coefficient</w:t>
            </w:r>
          </w:p>
        </w:tc>
        <w:tc>
          <w:tcPr>
            <w:tcW w:w="5855" w:type="dxa"/>
          </w:tcPr>
          <w:p w14:paraId="0F287622" w14:textId="1E7604C5" w:rsidR="00563332" w:rsidRPr="007C6C48" w:rsidRDefault="00563332" w:rsidP="00563332">
            <w:pPr>
              <w:pStyle w:val="NoSpacing"/>
              <w:spacing w:after="0"/>
              <w:rPr>
                <w:rFonts w:ascii="Roboto" w:hAnsi="Roboto"/>
                <w:color w:val="4472C4" w:themeColor="accent1"/>
              </w:rPr>
            </w:pP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{"citationItems":[{"id":"ITEM-1","itemData":{"DOI":"10.2475/AJS.262.7.918","ISSN":"0002-9599","abstract":"An empirical equation of state is derived for hydrogen gas which permits computations of fugacity coefficients with reasonable confidence over a wide range of temperatures and pressures. Comparisons are given between fugacity coefficients from the tables and from graphical integration of P-V-T data, as well as comparisons with some previously published results. The tabulated values faithfully reproduce the trends shown by experimental data.","author":[{"dropping-particle":"","family":"Shaw","given":"Herbert R.","non-dropping-particle":"","parse-names":false,"suffix":""},{"dropping-particle":"","family":"Wones","given":"David R.","non-dropping-particle":"","parse-names":false,"suffix":""}],"container-title":"American Journal of Science","id":"ITEM-1","issue":"7","issued":{"date-parts":[["1964","9","1"]]},"page":"918-929","publisher":"American Journal of Science","title":"Fugacity coefficients for hydrogen gas between 0 degrees and 1000 degrees C, for pressures to 3000 atm","type":"article-journal","volume":"262"},"uris":["http://www.mendeley.com/documents/?uuid=5634fd93-831d-3da7-b469-81a8f98d4d94"]}],"mendeley":{"formattedCitation":"(Shaw and Wones, 1964)","manualFormatting":"Shaw and Wones (1964)","plainTextFormattedCitation":"(Shaw and Wones, 1964)","previouslyFormattedCitation":"(Shaw and Wones, 1964)"},"properties":{"noteIndex":0},"schema":"https://github.com/citation-style-language/schema/raw/master/csl-citation.json"}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Shaw and Wones (1964)</w:t>
            </w:r>
            <w:r w:rsidRPr="007C6C48">
              <w:rPr>
                <w:rFonts w:ascii="Roboto" w:hAnsi="Roboto"/>
                <w:color w:val="000000" w:themeColor="text1"/>
              </w:rPr>
              <w:fldChar w:fldCharType="end"/>
            </w:r>
          </w:p>
        </w:tc>
      </w:tr>
      <w:tr w:rsidR="00563332" w:rsidRPr="007C6C48" w14:paraId="153E53AD" w14:textId="77777777" w:rsidTr="00B061FC">
        <w:tc>
          <w:tcPr>
            <w:tcW w:w="3161" w:type="dxa"/>
          </w:tcPr>
          <w:p w14:paraId="66CFE2DB" w14:textId="77777777" w:rsidR="00563332" w:rsidRPr="007C6C48" w:rsidRDefault="00563332" w:rsidP="00563332">
            <w:pPr>
              <w:pStyle w:val="NoSpacing"/>
              <w:spacing w:after="0"/>
              <w:rPr>
                <w:rFonts w:ascii="Roboto" w:hAnsi="Roboto"/>
              </w:rPr>
            </w:pPr>
            <w:r w:rsidRPr="007C6C48">
              <w:rPr>
                <w:rFonts w:ascii="Roboto" w:hAnsi="Roboto"/>
              </w:rPr>
              <w:t>S</w:t>
            </w:r>
            <w:r w:rsidRPr="007C6C48">
              <w:rPr>
                <w:rFonts w:ascii="Roboto" w:hAnsi="Roboto"/>
                <w:vertAlign w:val="subscript"/>
              </w:rPr>
              <w:t>2</w:t>
            </w:r>
            <w:r w:rsidRPr="007C6C48">
              <w:rPr>
                <w:rFonts w:ascii="Roboto" w:hAnsi="Roboto"/>
              </w:rPr>
              <w:t xml:space="preserve"> fugacity coefficient</w:t>
            </w:r>
          </w:p>
        </w:tc>
        <w:tc>
          <w:tcPr>
            <w:tcW w:w="5855" w:type="dxa"/>
          </w:tcPr>
          <w:p w14:paraId="503ED355" w14:textId="58F2F2CD" w:rsidR="00563332" w:rsidRPr="007C6C48" w:rsidRDefault="00563332"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259BFB9B" w14:textId="77777777" w:rsidTr="00B061FC">
        <w:tc>
          <w:tcPr>
            <w:tcW w:w="3161" w:type="dxa"/>
          </w:tcPr>
          <w:p w14:paraId="131CC7A0" w14:textId="77777777" w:rsidR="00563332" w:rsidRPr="007C6C48" w:rsidRDefault="00563332" w:rsidP="00563332">
            <w:pPr>
              <w:pStyle w:val="NoSpacing"/>
              <w:spacing w:after="0"/>
              <w:rPr>
                <w:rFonts w:ascii="Roboto" w:hAnsi="Roboto"/>
              </w:rPr>
            </w:pPr>
            <w:r w:rsidRPr="007C6C48">
              <w:rPr>
                <w:rFonts w:ascii="Roboto" w:hAnsi="Roboto"/>
              </w:rPr>
              <w:t>CO</w:t>
            </w:r>
            <w:r w:rsidRPr="007C6C48">
              <w:rPr>
                <w:rFonts w:ascii="Roboto" w:hAnsi="Roboto"/>
                <w:vertAlign w:val="subscript"/>
              </w:rPr>
              <w:t>2</w:t>
            </w:r>
            <w:r w:rsidRPr="007C6C48">
              <w:rPr>
                <w:rFonts w:ascii="Roboto" w:hAnsi="Roboto"/>
              </w:rPr>
              <w:t xml:space="preserve"> fugacity coefficient</w:t>
            </w:r>
          </w:p>
        </w:tc>
        <w:tc>
          <w:tcPr>
            <w:tcW w:w="5855" w:type="dxa"/>
          </w:tcPr>
          <w:p w14:paraId="52230C4E" w14:textId="5C0D03E6" w:rsidR="00563332" w:rsidRPr="007C6C48" w:rsidRDefault="004210CD"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60647C8B" w14:textId="77777777" w:rsidTr="00B061FC">
        <w:tc>
          <w:tcPr>
            <w:tcW w:w="3161" w:type="dxa"/>
          </w:tcPr>
          <w:p w14:paraId="6C103908" w14:textId="77777777"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O fugacity coefficient</w:t>
            </w:r>
          </w:p>
        </w:tc>
        <w:tc>
          <w:tcPr>
            <w:tcW w:w="5855" w:type="dxa"/>
          </w:tcPr>
          <w:p w14:paraId="4568CBEF" w14:textId="7A5B756E" w:rsidR="00563332" w:rsidRPr="007C6C48" w:rsidRDefault="004D29E4" w:rsidP="00563332">
            <w:pPr>
              <w:pStyle w:val="NoSpacing"/>
              <w:spacing w:after="0"/>
              <w:rPr>
                <w:rFonts w:ascii="Roboto" w:hAnsi="Roboto"/>
              </w:rPr>
            </w:pPr>
            <w:r w:rsidRPr="007C6C48">
              <w:rPr>
                <w:rFonts w:ascii="Roboto" w:hAnsi="Roboto"/>
              </w:rPr>
              <w:t xml:space="preserve">Eq. (4, 6: </w:t>
            </w:r>
            <w:r w:rsidRPr="007C6C48">
              <w:rPr>
                <w:rFonts w:ascii="Roboto" w:hAnsi="Roboto"/>
                <w:i/>
                <w:iCs/>
              </w:rPr>
              <w:t>T</w:t>
            </w:r>
            <w:r w:rsidRPr="007C6C48">
              <w:rPr>
                <w:rFonts w:ascii="Roboto" w:hAnsi="Roboto"/>
              </w:rPr>
              <w:t xml:space="preserve"> &gt; 673 K, A1, A2, A3) and Table 1 in </w:t>
            </w:r>
            <w:r w:rsidRPr="007C6C48">
              <w:rPr>
                <w:rFonts w:ascii="Roboto" w:hAnsi="Roboto"/>
              </w:rPr>
              <w:fldChar w:fldCharType="begin" w:fldLock="1"/>
            </w:r>
            <w:r w:rsidRPr="007C6C48">
              <w:rPr>
                <w:rFonts w:ascii="Roboto" w:hAnsi="Roboto"/>
              </w:rPr>
              <w:instrText>ADDIN CSL_CITATION {"citationItems":[{"id":"ITEM-1","itemData":{"DOI":"10.1007/BF00306484","ISSN":"1432-0967","abstract":"We present a simple virial-type extension to the modified Redlich-Kwong (MRK) equation for calculation of the volumes and fugacities of H2O and CO2 over the pressure range 0.001–50 kbar and 100 to 1400°C (H2O) and 100 to 1600°C (CO2). This extension has been designed to: (a) compensate for the tendency of the MRK equation to overestimate volumes at high pressures, and (b) accommodate the volume behaviour of coexisting gas and liquid phases along the saturation curve. The equation developed for CO2 may be used to derive volumes and fugacities of CO, H2, CH4, N2, O2 and other gases which conform to the corresponding states principle. For H2O the measured volumes of Burnham et al. are significantly higher in the range 4–10 kbar than those presented by other workers. For CO2 the volume behaviour at high pressures derived from published MRK equations are very different (larger volumes, steeper (∂P/∂T)V, and hence larger fugacities) from the virial-type equations of Saxena and Fei. Our CORK equation for CO2 yields fugacities which are in closer agreement with the available high pressure experimental decarbonation reactions.","author":[{"dropping-particle":"","family":"Holland","given":"Tim","non-dropping-particle":"","parse-names":false,"suffix":""},{"dropping-particle":"","family":"Powell","given":"Roger","non-dropping-particle":"","parse-names":false,"suffix":""}],"container-title":"Contributions to Mineralogy and Petrology 1991 109:2","id":"ITEM-1","issue":"2","issued":{"date-parts":[["1991","12"]]},"page":"265-273","publisher":"Springer","title":"A Compensated-Redlich-Kwong (CORK) equation for volumes and fugacities of CO2 and H2O in the range 1 bar to 50 kbar and 100–1600°C","type":"article-journal","volume":"109"},"uris":["http://www.mendeley.com/documents/?uuid=db805e02-f935-3a49-a23c-602687bb9447"]}],"mendeley":{"formattedCitation":"(Holland and Powell, 1991)","manualFormatting":"Holland and Powell (1991)","plainTextFormattedCitation":"(Holland and Powell, 1991)","previouslyFormattedCitation":"(Holland and Powell,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Holland and Powell (1991)</w:t>
            </w:r>
            <w:r w:rsidRPr="007C6C48">
              <w:rPr>
                <w:rFonts w:ascii="Roboto" w:hAnsi="Roboto"/>
              </w:rPr>
              <w:fldChar w:fldCharType="end"/>
            </w:r>
          </w:p>
        </w:tc>
      </w:tr>
      <w:tr w:rsidR="00563332" w:rsidRPr="007C6C48" w14:paraId="78ED0F04" w14:textId="77777777" w:rsidTr="00B061FC">
        <w:tc>
          <w:tcPr>
            <w:tcW w:w="3161" w:type="dxa"/>
          </w:tcPr>
          <w:p w14:paraId="0A0ACFD8" w14:textId="77777777" w:rsidR="00563332" w:rsidRPr="007C6C48" w:rsidRDefault="00563332" w:rsidP="00563332">
            <w:pPr>
              <w:pStyle w:val="NoSpacing"/>
              <w:spacing w:after="0"/>
              <w:rPr>
                <w:rFonts w:ascii="Roboto" w:hAnsi="Roboto"/>
              </w:rPr>
            </w:pPr>
            <w:r w:rsidRPr="007C6C48">
              <w:rPr>
                <w:rFonts w:ascii="Roboto" w:hAnsi="Roboto"/>
              </w:rPr>
              <w:t>SO</w:t>
            </w:r>
            <w:r w:rsidRPr="007C6C48">
              <w:rPr>
                <w:rFonts w:ascii="Roboto" w:hAnsi="Roboto"/>
                <w:vertAlign w:val="subscript"/>
              </w:rPr>
              <w:t>2</w:t>
            </w:r>
            <w:r w:rsidRPr="007C6C48">
              <w:rPr>
                <w:rFonts w:ascii="Roboto" w:hAnsi="Roboto"/>
              </w:rPr>
              <w:t xml:space="preserve"> fugacity coefficient</w:t>
            </w:r>
          </w:p>
        </w:tc>
        <w:tc>
          <w:tcPr>
            <w:tcW w:w="5855" w:type="dxa"/>
          </w:tcPr>
          <w:p w14:paraId="5BD441CC" w14:textId="7F282680" w:rsidR="00563332" w:rsidRPr="007C6C48" w:rsidRDefault="00563332" w:rsidP="00563332">
            <w:pPr>
              <w:pStyle w:val="NoSpacing"/>
              <w:spacing w:after="0"/>
              <w:rPr>
                <w:rFonts w:ascii="Roboto" w:hAnsi="Roboto"/>
                <w:color w:val="4472C4" w:themeColor="accen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r w:rsidRPr="007C6C48">
              <w:rPr>
                <w:rFonts w:ascii="Roboto" w:hAnsi="Roboto"/>
                <w:color w:val="4472C4" w:themeColor="accent1"/>
              </w:rPr>
              <w:t xml:space="preserve"> </w:t>
            </w:r>
            <w:r w:rsidRPr="007C6C48">
              <w:rPr>
                <w:rFonts w:ascii="Roboto" w:hAnsi="Roboto"/>
                <w:color w:val="000000" w:themeColor="text1"/>
              </w:rPr>
              <w:t>as modified in</w:t>
            </w:r>
            <w:r w:rsidR="004D29E4" w:rsidRPr="007C6C48">
              <w:rPr>
                <w:rFonts w:ascii="Roboto" w:hAnsi="Roboto"/>
                <w:color w:val="000000" w:themeColor="text1"/>
              </w:rPr>
              <w:t xml:space="preserve"> Fig. S1 of</w:t>
            </w:r>
            <w:r w:rsidRPr="007C6C48">
              <w:rPr>
                <w:rFonts w:ascii="Roboto" w:hAnsi="Roboto"/>
              </w:rPr>
              <w:t xml:space="preserve"> </w:t>
            </w:r>
            <w:r w:rsidRPr="007C6C48">
              <w:rPr>
                <w:rFonts w:ascii="Roboto" w:hAnsi="Roboto"/>
              </w:rPr>
              <w:fldChar w:fldCharType="begin" w:fldLock="1"/>
            </w:r>
            <w:r w:rsidRPr="007C6C48">
              <w:rPr>
                <w:rFonts w:ascii="Roboto" w:hAnsi="Roboto"/>
              </w:rPr>
              <w:instrText>ADDIN CSL_CITATION {"citationItems":[{"id":"ITEM-1","itemData":{"DOI":"https://doi.org/10.1144/jgs2021-125","author":[{"dropping-particle":"","family":"Hughes","given":"Ery Catherine","non-dropping-particle":"","parse-names":false,"suffix":""},{"dropping-particle":"","family":"Saper","given":"Lee M.","non-dropping-particle":"","parse-names":false,"suffix":""},{"dropping-particle":"","family":"Liggins","given":"Philippa","non-dropping-particle":"","parse-names":false,"suffix":""},{"dropping-particle":"","family":"O'Neill","given":"Hugh St. C.","non-dropping-particle":"","parse-names":false,"suffix":""},{"dropping-particle":"","family":"Stolper","given":"Edward M.","non-dropping-particle":"","parse-names":false,"suffix":""}],"container-title":"Journal of the Geological Society","id":"ITEM-1","issued":{"date-parts":[["2022"]]},"page":"jgs2021-125","title":"The sulfur solubility minimum and maximum in silicate melt","type":"article-journal","volume":"180"},"uris":["http://www.mendeley.com/documents/?uuid=d3807fa8-bdc8-40c1-adc2-78dd1805fa4f"]}],"mendeley":{"formattedCitation":"(Hughes et al., 2022)","manualFormatting":"Hughes et al. (2022)","plainTextFormattedCitation":"(Hughes et al., 2022)","previouslyFormattedCitation":"(Hughes et al.,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Hughes et al. (2022)</w:t>
            </w:r>
            <w:r w:rsidRPr="007C6C48">
              <w:rPr>
                <w:rFonts w:ascii="Roboto" w:hAnsi="Roboto"/>
              </w:rPr>
              <w:fldChar w:fldCharType="end"/>
            </w:r>
          </w:p>
        </w:tc>
      </w:tr>
      <w:tr w:rsidR="00563332" w:rsidRPr="007C6C48" w14:paraId="313D80A4" w14:textId="77777777" w:rsidTr="00B061FC">
        <w:tc>
          <w:tcPr>
            <w:tcW w:w="3161" w:type="dxa"/>
          </w:tcPr>
          <w:p w14:paraId="3965F979" w14:textId="77777777" w:rsidR="00563332" w:rsidRPr="007C6C48" w:rsidRDefault="00563332" w:rsidP="00563332">
            <w:pPr>
              <w:pStyle w:val="NoSpacing"/>
              <w:spacing w:after="0"/>
              <w:rPr>
                <w:rFonts w:ascii="Roboto" w:hAnsi="Roboto"/>
              </w:rPr>
            </w:pPr>
            <w:r w:rsidRPr="007C6C48">
              <w:rPr>
                <w:rFonts w:ascii="Roboto" w:hAnsi="Roboto"/>
              </w:rPr>
              <w:t>CH</w:t>
            </w:r>
            <w:r w:rsidRPr="007C6C48">
              <w:rPr>
                <w:rFonts w:ascii="Roboto" w:hAnsi="Roboto"/>
                <w:vertAlign w:val="subscript"/>
              </w:rPr>
              <w:t>4</w:t>
            </w:r>
            <w:r w:rsidRPr="007C6C48">
              <w:rPr>
                <w:rFonts w:ascii="Roboto" w:hAnsi="Roboto"/>
              </w:rPr>
              <w:t xml:space="preserve"> fugacity coefficient</w:t>
            </w:r>
          </w:p>
        </w:tc>
        <w:tc>
          <w:tcPr>
            <w:tcW w:w="5855" w:type="dxa"/>
          </w:tcPr>
          <w:p w14:paraId="18207BE3" w14:textId="2EB2498D" w:rsidR="00563332" w:rsidRPr="007C6C48" w:rsidRDefault="00563332"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54AEFBDB" w14:textId="77777777" w:rsidTr="00B061FC">
        <w:tc>
          <w:tcPr>
            <w:tcW w:w="3161" w:type="dxa"/>
          </w:tcPr>
          <w:p w14:paraId="1F7CF0DE" w14:textId="77777777"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S fugacity coefficient</w:t>
            </w:r>
          </w:p>
        </w:tc>
        <w:tc>
          <w:tcPr>
            <w:tcW w:w="5855" w:type="dxa"/>
          </w:tcPr>
          <w:p w14:paraId="17312D99" w14:textId="3C731741" w:rsidR="00563332" w:rsidRPr="007C6C48" w:rsidRDefault="00563332" w:rsidP="00563332">
            <w:pPr>
              <w:pStyle w:val="NoSpacing"/>
              <w:spacing w:after="0"/>
              <w:rPr>
                <w:rFonts w:ascii="Roboto" w:hAnsi="Roboto"/>
                <w:color w:val="4472C4" w:themeColor="accent1"/>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r w:rsidRPr="007C6C48">
              <w:rPr>
                <w:rFonts w:ascii="Roboto" w:hAnsi="Roboto"/>
                <w:color w:val="4472C4" w:themeColor="accent1"/>
              </w:rPr>
              <w:t xml:space="preserve"> </w:t>
            </w:r>
            <w:r w:rsidRPr="007C6C48">
              <w:rPr>
                <w:rFonts w:ascii="Roboto" w:hAnsi="Roboto"/>
                <w:color w:val="000000" w:themeColor="text1"/>
              </w:rPr>
              <w:t>as modified in</w:t>
            </w:r>
            <w:r w:rsidR="004D29E4" w:rsidRPr="007C6C48">
              <w:rPr>
                <w:rFonts w:ascii="Roboto" w:hAnsi="Roboto"/>
                <w:color w:val="000000" w:themeColor="text1"/>
              </w:rPr>
              <w:t xml:space="preserve"> Fig. S1 of</w:t>
            </w:r>
            <w:r w:rsidRPr="007C6C48">
              <w:rPr>
                <w:rFonts w:ascii="Roboto" w:hAnsi="Roboto"/>
              </w:rPr>
              <w:t xml:space="preserve"> </w:t>
            </w:r>
            <w:r w:rsidRPr="007C6C48">
              <w:rPr>
                <w:rFonts w:ascii="Roboto" w:hAnsi="Roboto"/>
              </w:rPr>
              <w:fldChar w:fldCharType="begin" w:fldLock="1"/>
            </w:r>
            <w:r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Pr="007C6C48">
              <w:rPr>
                <w:rFonts w:ascii="Roboto" w:hAnsi="Roboto"/>
              </w:rPr>
              <w:fldChar w:fldCharType="separate"/>
            </w:r>
            <w:r w:rsidRPr="007C6C48">
              <w:rPr>
                <w:rFonts w:ascii="Roboto" w:hAnsi="Roboto"/>
                <w:noProof/>
              </w:rPr>
              <w:t>Hughes et al. (2024)</w:t>
            </w:r>
            <w:r w:rsidRPr="007C6C48">
              <w:rPr>
                <w:rFonts w:ascii="Roboto" w:hAnsi="Roboto"/>
              </w:rPr>
              <w:fldChar w:fldCharType="end"/>
            </w:r>
          </w:p>
        </w:tc>
      </w:tr>
      <w:tr w:rsidR="00563332" w:rsidRPr="007C6C48" w14:paraId="4E785AC2" w14:textId="77777777" w:rsidTr="00B061FC">
        <w:tc>
          <w:tcPr>
            <w:tcW w:w="3161" w:type="dxa"/>
          </w:tcPr>
          <w:p w14:paraId="5800E004" w14:textId="77777777" w:rsidR="00563332" w:rsidRPr="007C6C48" w:rsidRDefault="00563332" w:rsidP="00563332">
            <w:pPr>
              <w:pStyle w:val="NoSpacing"/>
              <w:spacing w:after="0"/>
              <w:rPr>
                <w:rFonts w:ascii="Roboto" w:hAnsi="Roboto"/>
              </w:rPr>
            </w:pPr>
            <w:r w:rsidRPr="007C6C48">
              <w:rPr>
                <w:rFonts w:ascii="Roboto" w:hAnsi="Roboto"/>
              </w:rPr>
              <w:t>OCS fugacity coefficient</w:t>
            </w:r>
          </w:p>
        </w:tc>
        <w:tc>
          <w:tcPr>
            <w:tcW w:w="5855" w:type="dxa"/>
          </w:tcPr>
          <w:p w14:paraId="349EE307" w14:textId="7C015E1C" w:rsidR="00563332" w:rsidRPr="007C6C48" w:rsidRDefault="00563332"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{"citationItems":[{"id":"ITEM-1","itemData":{"abstract":"The pressure-volume-temperature (P-V-T) relations and fugacities of pure fluid phases in the C-H-O-S system (H2O, CO2, CH4, CO, O2, H2, S2, SO2, COS, H2S) are determined from the equation of corresponding state and other empirical equations from low temperature and pressure to moderate temperature and pressure. The intermolecular potential theory is used to calculate the pressure-volume-temperature-composition (P-V-T-X) and, pressure-volume-temperature-activity (P-V-T-a) relations in the C-H-O-S fluid mixture. The model is useful in calculations of phase equilibria and fluid proportions over the temperature-pressure range of the crust of the Earth.","author":[{"dropping-particle":"","family":"Shi","given":"Pingfang","non-dropping-particle":"","parse-names":false,"suffix":""},{"dropping-particle":"","family":"Saxena","given":"S.K.","non-dropping-particle":"","parse-names":false,"suffix":""}],"container-title":"American Mineralogist","id":"ITEM-1","issue":"9-10","issued":{"date-parts":[["1992","10","1"]]},"page":"1038-1049","title":"Thermodynamic modeing of the C-H-O-S fluid system","type":"article-journal","volume":"77"},"uris":["http://www.mendeley.com/documents/?uuid=d21b529c-601e-31f2-95b0-3e8bab90fedd"]}],"mendeley":{"formattedCitation":"(Shi and Saxena, 1992)","manualFormatting":"Shi and Saxena (1992)","plainTextFormattedCitation":"(Shi and Saxena, 1992)","previouslyFormattedCitation":"(Shi and Saxena, 1992)"},"properties":{"noteIndex":0},"schema":"https://github.com/citation-style-language/schema/raw/master/csl-citation.json"}</w:instrText>
            </w:r>
            <w:r w:rsidRPr="007C6C48">
              <w:rPr>
                <w:rFonts w:ascii="Roboto" w:hAnsi="Roboto"/>
              </w:rPr>
              <w:fldChar w:fldCharType="separate"/>
            </w:r>
            <w:r w:rsidRPr="007C6C48">
              <w:rPr>
                <w:rFonts w:ascii="Roboto" w:hAnsi="Roboto"/>
                <w:noProof/>
              </w:rPr>
              <w:t>Shi and Saxena (1992)</w:t>
            </w:r>
            <w:r w:rsidRPr="007C6C48">
              <w:rPr>
                <w:rFonts w:ascii="Roboto" w:hAnsi="Roboto"/>
              </w:rPr>
              <w:fldChar w:fldCharType="end"/>
            </w:r>
          </w:p>
        </w:tc>
      </w:tr>
      <w:tr w:rsidR="00563332" w:rsidRPr="007C6C48" w14:paraId="03D2A792" w14:textId="77777777" w:rsidTr="00B061FC">
        <w:tc>
          <w:tcPr>
            <w:tcW w:w="3161" w:type="dxa"/>
          </w:tcPr>
          <w:p w14:paraId="7A3EAECC" w14:textId="77777777" w:rsidR="00563332" w:rsidRPr="007C6C48" w:rsidRDefault="00563332" w:rsidP="00563332">
            <w:pPr>
              <w:pStyle w:val="NoSpacing"/>
              <w:spacing w:after="0"/>
              <w:rPr>
                <w:rFonts w:ascii="Roboto" w:hAnsi="Roboto"/>
              </w:rPr>
            </w:pPr>
            <w:r w:rsidRPr="007C6C48">
              <w:rPr>
                <w:rFonts w:ascii="Roboto" w:hAnsi="Roboto"/>
              </w:rPr>
              <w:t>CO</w:t>
            </w:r>
            <w:r w:rsidRPr="007C6C48">
              <w:rPr>
                <w:rFonts w:ascii="Roboto" w:hAnsi="Roboto"/>
                <w:vertAlign w:val="subscript"/>
              </w:rPr>
              <w:t>2</w:t>
            </w:r>
            <w:r w:rsidRPr="007C6C48">
              <w:rPr>
                <w:rFonts w:ascii="Roboto" w:hAnsi="Roboto"/>
              </w:rPr>
              <w:t xml:space="preserve"> equilibrium constant</w:t>
            </w:r>
          </w:p>
        </w:tc>
        <w:tc>
          <w:tcPr>
            <w:tcW w:w="5855" w:type="dxa"/>
          </w:tcPr>
          <w:p w14:paraId="51C4BEA5" w14:textId="2D8BAE7A" w:rsidR="00563332" w:rsidRPr="007C6C48" w:rsidRDefault="00563332" w:rsidP="00563332">
            <w:pPr>
              <w:pStyle w:val="NoSpacing"/>
              <w:spacing w:after="0"/>
              <w:rPr>
                <w:rFonts w:ascii="Roboto" w:hAnsi="Roboto"/>
              </w:rPr>
            </w:pPr>
            <w:r w:rsidRPr="007C6C48">
              <w:rPr>
                <w:rFonts w:ascii="Roboto" w:hAnsi="Roboto"/>
                <w:color w:val="000000" w:themeColor="text1"/>
              </w:rPr>
              <w:t>Reaction (c)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563332" w:rsidRPr="007C6C48" w14:paraId="702021D0" w14:textId="77777777" w:rsidTr="00B061FC">
        <w:tc>
          <w:tcPr>
            <w:tcW w:w="3161" w:type="dxa"/>
          </w:tcPr>
          <w:p w14:paraId="43734788" w14:textId="77777777"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O equilibrium constant</w:t>
            </w:r>
          </w:p>
        </w:tc>
        <w:tc>
          <w:tcPr>
            <w:tcW w:w="5855" w:type="dxa"/>
          </w:tcPr>
          <w:p w14:paraId="388C0ECA" w14:textId="288CD5CB" w:rsidR="00563332" w:rsidRPr="007C6C48" w:rsidRDefault="00563332" w:rsidP="00563332">
            <w:pPr>
              <w:pStyle w:val="NoSpacing"/>
              <w:spacing w:after="0"/>
              <w:rPr>
                <w:rFonts w:ascii="Roboto" w:hAnsi="Roboto"/>
              </w:rPr>
            </w:pPr>
            <w:r w:rsidRPr="007C6C48">
              <w:rPr>
                <w:rFonts w:ascii="Roboto" w:hAnsi="Roboto"/>
                <w:color w:val="000000" w:themeColor="text1"/>
              </w:rPr>
              <w:t>Reaction (d)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563332" w:rsidRPr="007C6C48" w14:paraId="642B8911" w14:textId="77777777" w:rsidTr="00B061FC">
        <w:tc>
          <w:tcPr>
            <w:tcW w:w="3161" w:type="dxa"/>
          </w:tcPr>
          <w:p w14:paraId="1BBE1EE0" w14:textId="77777777" w:rsidR="00563332" w:rsidRPr="007C6C48" w:rsidRDefault="00563332" w:rsidP="00563332">
            <w:pPr>
              <w:pStyle w:val="NoSpacing"/>
              <w:spacing w:after="0"/>
              <w:rPr>
                <w:rFonts w:ascii="Roboto" w:hAnsi="Roboto"/>
              </w:rPr>
            </w:pPr>
            <w:r w:rsidRPr="007C6C48">
              <w:rPr>
                <w:rFonts w:ascii="Roboto" w:hAnsi="Roboto"/>
              </w:rPr>
              <w:t>SO</w:t>
            </w:r>
            <w:r w:rsidRPr="007C6C48">
              <w:rPr>
                <w:rFonts w:ascii="Roboto" w:hAnsi="Roboto"/>
                <w:vertAlign w:val="subscript"/>
              </w:rPr>
              <w:t>2</w:t>
            </w:r>
            <w:r w:rsidRPr="007C6C48">
              <w:rPr>
                <w:rFonts w:ascii="Roboto" w:hAnsi="Roboto"/>
              </w:rPr>
              <w:t xml:space="preserve"> equilibrium constant</w:t>
            </w:r>
          </w:p>
        </w:tc>
        <w:tc>
          <w:tcPr>
            <w:tcW w:w="5855" w:type="dxa"/>
          </w:tcPr>
          <w:p w14:paraId="67B34A05" w14:textId="1BBBFF73" w:rsidR="00563332" w:rsidRPr="007C6C48" w:rsidRDefault="00563332" w:rsidP="00563332">
            <w:pPr>
              <w:pStyle w:val="NoSpacing"/>
              <w:spacing w:after="0"/>
              <w:rPr>
                <w:rFonts w:ascii="Roboto" w:hAnsi="Roboto"/>
                <w:color w:val="4472C4" w:themeColor="accent1"/>
              </w:rPr>
            </w:pPr>
            <w:r w:rsidRPr="007C6C48">
              <w:rPr>
                <w:rFonts w:ascii="Roboto" w:hAnsi="Roboto"/>
                <w:color w:val="000000" w:themeColor="text1"/>
              </w:rPr>
              <w:t>Reaction (f)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563332" w:rsidRPr="007C6C48" w14:paraId="5D75FA2D" w14:textId="77777777" w:rsidTr="00B061FC">
        <w:tc>
          <w:tcPr>
            <w:tcW w:w="3161" w:type="dxa"/>
          </w:tcPr>
          <w:p w14:paraId="7536368D" w14:textId="77777777" w:rsidR="00563332" w:rsidRPr="007C6C48" w:rsidRDefault="00563332" w:rsidP="00563332">
            <w:pPr>
              <w:pStyle w:val="NoSpacing"/>
              <w:spacing w:after="0"/>
              <w:rPr>
                <w:rFonts w:ascii="Roboto" w:hAnsi="Roboto"/>
              </w:rPr>
            </w:pPr>
            <w:r w:rsidRPr="007C6C48">
              <w:rPr>
                <w:rFonts w:ascii="Roboto" w:hAnsi="Roboto"/>
              </w:rPr>
              <w:t>CH</w:t>
            </w:r>
            <w:r w:rsidRPr="007C6C48">
              <w:rPr>
                <w:rFonts w:ascii="Roboto" w:hAnsi="Roboto"/>
                <w:vertAlign w:val="subscript"/>
              </w:rPr>
              <w:t>4</w:t>
            </w:r>
            <w:r w:rsidRPr="007C6C48">
              <w:rPr>
                <w:rFonts w:ascii="Roboto" w:hAnsi="Roboto"/>
              </w:rPr>
              <w:t xml:space="preserve"> equilibrium constant</w:t>
            </w:r>
          </w:p>
        </w:tc>
        <w:tc>
          <w:tcPr>
            <w:tcW w:w="5855" w:type="dxa"/>
          </w:tcPr>
          <w:p w14:paraId="3BD7B636" w14:textId="6173EDF0" w:rsidR="00563332" w:rsidRPr="007C6C48" w:rsidRDefault="00563332" w:rsidP="00563332">
            <w:pPr>
              <w:pStyle w:val="NoSpacing"/>
              <w:spacing w:after="0"/>
              <w:rPr>
                <w:rFonts w:ascii="Roboto" w:hAnsi="Roboto"/>
              </w:rPr>
            </w:pPr>
            <w:r w:rsidRPr="007C6C48">
              <w:rPr>
                <w:rFonts w:ascii="Roboto" w:hAnsi="Roboto"/>
                <w:color w:val="000000" w:themeColor="text1"/>
              </w:rPr>
              <w:t>Reaction (e) in Table 1 of</w:t>
            </w:r>
            <w:r w:rsidRPr="007C6C48">
              <w:rPr>
                <w:rFonts w:ascii="Roboto" w:hAnsi="Roboto"/>
                <w:color w:val="4472C4" w:themeColor="accent1"/>
              </w:rPr>
              <w:t xml:space="preserve">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563332" w:rsidRPr="007C6C48" w14:paraId="7654F74C" w14:textId="77777777" w:rsidTr="00B061FC">
        <w:tc>
          <w:tcPr>
            <w:tcW w:w="3161" w:type="dxa"/>
          </w:tcPr>
          <w:p w14:paraId="120B71E8" w14:textId="77777777"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S equilibrium constant</w:t>
            </w:r>
          </w:p>
        </w:tc>
        <w:tc>
          <w:tcPr>
            <w:tcW w:w="5855" w:type="dxa"/>
          </w:tcPr>
          <w:p w14:paraId="5C1D97CA" w14:textId="18592C8A" w:rsidR="00563332" w:rsidRPr="007C6C48" w:rsidRDefault="00563332" w:rsidP="00563332">
            <w:pPr>
              <w:pStyle w:val="NoSpacing"/>
              <w:spacing w:after="0"/>
              <w:rPr>
                <w:rFonts w:ascii="Roboto" w:hAnsi="Roboto"/>
                <w:color w:val="4472C4" w:themeColor="accent1"/>
              </w:rPr>
            </w:pPr>
            <w:r w:rsidRPr="007C6C48">
              <w:rPr>
                <w:rFonts w:ascii="Roboto" w:hAnsi="Roboto"/>
                <w:color w:val="000000" w:themeColor="text1"/>
              </w:rPr>
              <w:t xml:space="preserve">Reaction (h) in Table 1 of </w:t>
            </w:r>
            <w:r w:rsidRPr="007C6C48">
              <w:rPr>
                <w:rFonts w:ascii="Roboto" w:hAnsi="Roboto"/>
              </w:rPr>
              <w:fldChar w:fldCharType="begin" w:fldLock="1"/>
            </w:r>
            <w:r w:rsidRPr="007C6C48">
              <w:rPr>
                <w:rFonts w:ascii="Roboto" w:hAnsi="Roboto"/>
              </w:rPr>
              <w:instrText>ADDIN CSL_CITATION {"citationItems":[{"id":"ITEM-1","itemData":{"DOI":"10.2475/AJS.277.8.1013","ISSN":"0002-9599","abstract":"very mathematical; max. X(H2O) in equil. with graphite","author":[{"dropping-particle":"","family":"Ohmoto","given":"H.","non-dropping-particle":"","parse-names":false,"suffix":""},{"dropping-particle":"","family":"Kerrick","given":"D. M.","non-dropping-particle":"","parse-names":false,"suffix":""}],"container-title":"American Journal of Science","id":"ITEM-1","issue":"8","issued":{"date-parts":[["1977","10","1"]]},"page":"1013-1044","publisher":"American Journal of Science","title":"Devolatilization equilibria in graphitic systems","type":"article-journal","volume":"277"},"uris":["http://www.mendeley.com/documents/?uuid=27906af5-49a4-3bd3-b34e-e0e09aa8b1e6"]}],"mendeley":{"formattedCitation":"(Ohmoto and Kerrick, 1977)","manualFormatting":"Ohmoto and Kerrick (1977)","plainTextFormattedCitation":"(Ohmoto and Kerrick, 1977)","previouslyFormattedCitation":"(Ohmoto and Kerrick, 1977)"},"properties":{"noteIndex":0},"schema":"https://github.com/citation-style-language/schema/raw/master/csl-citation.json"}</w:instrText>
            </w:r>
            <w:r w:rsidRPr="007C6C48">
              <w:rPr>
                <w:rFonts w:ascii="Roboto" w:hAnsi="Roboto"/>
              </w:rPr>
              <w:fldChar w:fldCharType="separate"/>
            </w:r>
            <w:r w:rsidRPr="007C6C48">
              <w:rPr>
                <w:rFonts w:ascii="Roboto" w:hAnsi="Roboto"/>
                <w:noProof/>
              </w:rPr>
              <w:t>Ohmoto and Kerrick (1977)</w:t>
            </w:r>
            <w:r w:rsidRPr="007C6C48">
              <w:rPr>
                <w:rFonts w:ascii="Roboto" w:hAnsi="Roboto"/>
              </w:rPr>
              <w:fldChar w:fldCharType="end"/>
            </w:r>
          </w:p>
        </w:tc>
      </w:tr>
      <w:tr w:rsidR="00563332" w:rsidRPr="007C6C48" w14:paraId="71B04EAC" w14:textId="77777777" w:rsidTr="00B061FC">
        <w:tc>
          <w:tcPr>
            <w:tcW w:w="3161" w:type="dxa"/>
          </w:tcPr>
          <w:p w14:paraId="34A0136C" w14:textId="77777777" w:rsidR="00563332" w:rsidRPr="007C6C48" w:rsidRDefault="00563332" w:rsidP="00563332">
            <w:pPr>
              <w:pStyle w:val="NoSpacing"/>
              <w:spacing w:after="0"/>
              <w:rPr>
                <w:rFonts w:ascii="Roboto" w:hAnsi="Roboto"/>
              </w:rPr>
            </w:pPr>
            <w:r w:rsidRPr="007C6C48">
              <w:rPr>
                <w:rFonts w:ascii="Roboto" w:hAnsi="Roboto"/>
              </w:rPr>
              <w:t>OCS equilibrium constant</w:t>
            </w:r>
          </w:p>
        </w:tc>
        <w:tc>
          <w:tcPr>
            <w:tcW w:w="5855" w:type="dxa"/>
          </w:tcPr>
          <w:p w14:paraId="7C15F6F7" w14:textId="063C8D77" w:rsidR="00563332" w:rsidRPr="007C6C48" w:rsidRDefault="00563332" w:rsidP="00563332">
            <w:pPr>
              <w:pStyle w:val="NoSpacing"/>
              <w:spacing w:after="0"/>
              <w:rPr>
                <w:rFonts w:ascii="Roboto" w:hAnsi="Roboto"/>
              </w:rPr>
            </w:pPr>
            <w:r w:rsidRPr="007C6C48">
              <w:rPr>
                <w:rFonts w:ascii="Roboto" w:hAnsi="Roboto"/>
                <w:color w:val="000000" w:themeColor="text1"/>
                <w:lang w:val="fr-FR"/>
              </w:rPr>
              <w:t xml:space="preserve">Eq. (8) in </w:t>
            </w:r>
            <w:r w:rsidRPr="007C6C48">
              <w:rPr>
                <w:rFonts w:ascii="Roboto" w:hAnsi="Roboto"/>
              </w:rPr>
              <w:fldChar w:fldCharType="begin" w:fldLock="1"/>
            </w:r>
            <w:r w:rsidRPr="007C6C48">
              <w:rPr>
                <w:rFonts w:ascii="Roboto" w:hAnsi="Roboto"/>
                <w:lang w:val="fr-FR"/>
              </w:rPr>
              <w:instrText>ADDIN CSL_CITATION {"citationItems":[{"id":"ITEM-1","itemData":{"DOI":"10.1016/J.EPSL.2019.05.036","ISSN":"0012-821X","abstract":"The oxidation state of volcanic gas emissions influences the composition of the exosphere and planetary habitability. It is widely considered to be associated with the oxidation state of the melt from which volatiles exsolve. Here, we present a global synthesis of volcanic gas measurements. We define the mean oxidation state of volcanic gas emissions on Earth today and show that, globally, gas oxidation state, relative to rock buffers, is a strong function of emission temperature, increasing by several orders of magnitude as temperature decreases. The trend is independent of melt composition and geodynamic setting. This observation may explain why the mean oxidation state of volcanic gas emissions on Earth has apparently increased since the Archean, without a corresponding shift in melt oxidation state. We argue that progressive cooling of the mantle and the cessation of komatiite generation should have been accompanied by a substantial increase of the oxidation state of volcanic gases around the onset of the Great Oxidation Event. This may have accelerated or facilitated the transition to an oxygen-rich atmosphere. Overall, our data, along with previous work, show that there are no single nor simple relationships between mantle-, magma- and volcanic gas-redox states.","author":[{"dropping-particle":"","family":"Moussallam","given":"Yves","non-dropping-particle":"","parse-names":false,"suffix":""},{"dropping-particle":"","family":"Oppenheimer","given":"Clive","non-dropping-particle":"","parse-names":false,"suffix":""},{"dropping-particle":"","family":"Scaillet","given":"Bruno","non-dropping-particle":"","parse-names":false,"suffix":""}],"container-title":"Earth and Planetary Science Letters","id":"ITEM-1","issued":{"date-parts":[["2019","8","15"]]},"page":"260-267","publisher":"Elsevier","title":"On the relationship between oxidation state and temperature of volcanic gas emissions","type":"article-journal","volume":"520"},"uris":["http://www.mendeley.com/documents/?uuid=7dc6690e-fa67-3cef-9f52-cb87fca63442"]}],"mendeley":{"formattedCitation":"(Moussallam et al., 2019)","manualFormatting":"Moussallam et al. (2019)","plainTextFormattedCitation":"(Moussallam et al., 2019)","previouslyFormattedCitation":"(Moussallam et al., 2019)"},"properties":{"noteIndex":0},"schema":"https://github.com/citation-style-language/schema/raw/master/csl-citation.json"}</w:instrText>
            </w:r>
            <w:r w:rsidRPr="007C6C48">
              <w:rPr>
                <w:rFonts w:ascii="Roboto" w:hAnsi="Roboto"/>
              </w:rPr>
              <w:fldChar w:fldCharType="separate"/>
            </w:r>
            <w:r w:rsidRPr="007C6C48">
              <w:rPr>
                <w:rFonts w:ascii="Roboto" w:hAnsi="Roboto"/>
                <w:noProof/>
                <w:lang w:val="fr-FR"/>
              </w:rPr>
              <w:t xml:space="preserve">Moussallam et al. </w:t>
            </w:r>
            <w:r w:rsidRPr="007C6C48">
              <w:rPr>
                <w:rFonts w:ascii="Roboto" w:hAnsi="Roboto"/>
                <w:noProof/>
              </w:rPr>
              <w:t>(2019)</w:t>
            </w:r>
            <w:r w:rsidRPr="007C6C48">
              <w:rPr>
                <w:rFonts w:ascii="Roboto" w:hAnsi="Roboto"/>
              </w:rPr>
              <w:fldChar w:fldCharType="end"/>
            </w:r>
          </w:p>
        </w:tc>
      </w:tr>
      <w:tr w:rsidR="00563332" w:rsidRPr="007C6C48" w14:paraId="54120CCF" w14:textId="77777777" w:rsidTr="00B061FC">
        <w:tc>
          <w:tcPr>
            <w:tcW w:w="3161" w:type="dxa"/>
          </w:tcPr>
          <w:p w14:paraId="13C720E3" w14:textId="2C2EDA55" w:rsidR="00563332" w:rsidRPr="007C6C48" w:rsidRDefault="00563332" w:rsidP="00563332">
            <w:pPr>
              <w:pStyle w:val="NoSpacing"/>
              <w:spacing w:after="0"/>
              <w:rPr>
                <w:rFonts w:ascii="Roboto" w:hAnsi="Roboto"/>
                <w:vertAlign w:val="subscript"/>
              </w:rPr>
            </w:pPr>
            <w:r w:rsidRPr="007C6C48">
              <w:rPr>
                <w:rFonts w:ascii="Roboto" w:hAnsi="Roboto"/>
              </w:rPr>
              <w:t>H</w:t>
            </w:r>
            <w:r w:rsidRPr="007C6C48">
              <w:rPr>
                <w:rFonts w:ascii="Roboto" w:hAnsi="Roboto"/>
                <w:vertAlign w:val="subscript"/>
              </w:rPr>
              <w:t>2</w:t>
            </w:r>
            <w:r w:rsidRPr="007C6C48">
              <w:rPr>
                <w:rFonts w:ascii="Roboto" w:hAnsi="Roboto"/>
              </w:rPr>
              <w:t>O</w:t>
            </w:r>
            <w:r w:rsidRPr="007C6C48">
              <w:rPr>
                <w:rFonts w:ascii="Roboto" w:hAnsi="Roboto"/>
                <w:vertAlign w:val="subscript"/>
              </w:rPr>
              <w:t>T</w:t>
            </w:r>
            <w:r w:rsidRPr="007C6C48">
              <w:rPr>
                <w:rFonts w:ascii="Roboto" w:hAnsi="Roboto"/>
              </w:rPr>
              <w:t xml:space="preserve"> solubility </w:t>
            </w:r>
            <w:r w:rsidR="0086713C" w:rsidRPr="007C6C48">
              <w:rPr>
                <w:rFonts w:ascii="Roboto" w:hAnsi="Roboto"/>
              </w:rPr>
              <w:t>function</w:t>
            </w:r>
          </w:p>
        </w:tc>
        <w:tc>
          <w:tcPr>
            <w:tcW w:w="5855" w:type="dxa"/>
          </w:tcPr>
          <w:p w14:paraId="59455671" w14:textId="384A3773" w:rsidR="00563332" w:rsidRPr="007C6C48" w:rsidRDefault="004D29E4" w:rsidP="00563332">
            <w:pPr>
              <w:pStyle w:val="NoSpacing"/>
              <w:spacing w:after="0"/>
              <w:rPr>
                <w:rFonts w:ascii="Roboto" w:hAnsi="Roboto"/>
              </w:rPr>
            </w:pPr>
            <w:r w:rsidRPr="007C6C48">
              <w:rPr>
                <w:rFonts w:ascii="Roboto" w:hAnsi="Roboto"/>
              </w:rPr>
              <w:t xml:space="preserve">Fig. S2 in </w:t>
            </w:r>
            <w:r w:rsidR="00563332" w:rsidRPr="007C6C48">
              <w:rPr>
                <w:rFonts w:ascii="Roboto" w:hAnsi="Roboto"/>
              </w:rPr>
              <w:fldChar w:fldCharType="begin" w:fldLock="1"/>
            </w:r>
            <w:r w:rsidR="00563332"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00563332" w:rsidRPr="007C6C48">
              <w:rPr>
                <w:rFonts w:ascii="Roboto" w:hAnsi="Roboto"/>
              </w:rPr>
              <w:fldChar w:fldCharType="separate"/>
            </w:r>
            <w:r w:rsidR="00563332" w:rsidRPr="007C6C48">
              <w:rPr>
                <w:rFonts w:ascii="Roboto" w:hAnsi="Roboto"/>
                <w:noProof/>
              </w:rPr>
              <w:t>Hughes et al. (2024)</w:t>
            </w:r>
            <w:r w:rsidR="00563332" w:rsidRPr="007C6C48">
              <w:rPr>
                <w:rFonts w:ascii="Roboto" w:hAnsi="Roboto"/>
              </w:rPr>
              <w:fldChar w:fldCharType="end"/>
            </w:r>
          </w:p>
        </w:tc>
      </w:tr>
      <w:tr w:rsidR="00563332" w:rsidRPr="007C6C48" w14:paraId="72623E12" w14:textId="77777777" w:rsidTr="00B061FC">
        <w:tc>
          <w:tcPr>
            <w:tcW w:w="3161" w:type="dxa"/>
          </w:tcPr>
          <w:p w14:paraId="53824048" w14:textId="63323EAA" w:rsidR="00563332" w:rsidRPr="007C6C48" w:rsidRDefault="00563332" w:rsidP="00563332">
            <w:pPr>
              <w:pStyle w:val="NoSpacing"/>
              <w:spacing w:after="0"/>
              <w:rPr>
                <w:rFonts w:ascii="Roboto" w:hAnsi="Roboto"/>
              </w:rPr>
            </w:pPr>
            <w:proofErr w:type="gramStart"/>
            <w:r w:rsidRPr="007C6C48">
              <w:rPr>
                <w:rFonts w:ascii="Roboto" w:hAnsi="Roboto"/>
              </w:rPr>
              <w:t>CO</w:t>
            </w:r>
            <w:r w:rsidRPr="007C6C48">
              <w:rPr>
                <w:rFonts w:ascii="Roboto" w:hAnsi="Roboto"/>
                <w:vertAlign w:val="subscript"/>
              </w:rPr>
              <w:t>2,T</w:t>
            </w:r>
            <w:proofErr w:type="gramEnd"/>
            <w:r w:rsidRPr="007C6C48">
              <w:rPr>
                <w:rFonts w:ascii="Roboto" w:hAnsi="Roboto"/>
              </w:rPr>
              <w:t xml:space="preserve"> solubility </w:t>
            </w:r>
            <w:r w:rsidR="0086713C" w:rsidRPr="007C6C48">
              <w:rPr>
                <w:rFonts w:ascii="Roboto" w:hAnsi="Roboto"/>
              </w:rPr>
              <w:t>function</w:t>
            </w:r>
          </w:p>
        </w:tc>
        <w:tc>
          <w:tcPr>
            <w:tcW w:w="5855" w:type="dxa"/>
          </w:tcPr>
          <w:p w14:paraId="46E8F740" w14:textId="49759F3D" w:rsidR="00563332" w:rsidRPr="007C6C48" w:rsidRDefault="004D29E4" w:rsidP="00563332">
            <w:pPr>
              <w:pStyle w:val="NoSpacing"/>
              <w:spacing w:after="0"/>
              <w:rPr>
                <w:rFonts w:ascii="Roboto" w:hAnsi="Roboto"/>
                <w:lang w:val="nl-NL"/>
              </w:rPr>
            </w:pPr>
            <w:r w:rsidRPr="007C6C48">
              <w:rPr>
                <w:rFonts w:ascii="Roboto" w:hAnsi="Roboto"/>
                <w:color w:val="000000" w:themeColor="text1"/>
                <w:lang w:val="nl-NL"/>
              </w:rPr>
              <w:t xml:space="preserve">Bullet (5) in </w:t>
            </w:r>
            <w:r w:rsidR="00563332" w:rsidRPr="007C6C48">
              <w:rPr>
                <w:rFonts w:ascii="Roboto" w:hAnsi="Roboto"/>
                <w:color w:val="000000" w:themeColor="text1"/>
              </w:rPr>
              <w:fldChar w:fldCharType="begin" w:fldLock="1"/>
            </w:r>
            <w:r w:rsidR="00563332" w:rsidRPr="007C6C48">
              <w:rPr>
                <w:rFonts w:ascii="Roboto" w:hAnsi="Roboto"/>
                <w:color w:val="000000" w:themeColor="text1"/>
                <w:lang w:val="nl-NL"/>
              </w:rPr>
              <w:instrText>ADDIN CSL_CITATION {"citationItems":[{"id":"ITEM-1","itemData":{"DOI":"10.1093/oxfordjournals.petrology.a037267","abstract":"Experiments were conducted to determine the solubilities of H2O and CO2 and the nature of their mixing behavior in basaltic liquid at pressures and temperature relevant to seqfloor eruption. Mid-ocean ridge basaltic (MORB) liquid was equilibrated at 1200°C with pure H2O at pressures of 176–717 bar and H2O—CO2 vapor at pressures up to 980 bar. Concentrations and speciation of H2O and CO2 dissolved in the quenched glasses were measured using IR spectroscopy. Molar absorptivities for the 4500 cm−1 band of hydroxyl groups and the 5200 and 1630 cm−1 bands of molecular water are 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67±0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03, 0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62±0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07, and 25±3 l/mol-cm, respectively. These and previously determined molar absorptivities for a range of silicate melt compositions correlate positively and linearly with the concentration of tetrahedral cations (Si+Al). The speciation of water in glass quenched from vapor-saturated basaltic melt is similar to that determined by Silver &amp; Stolper (Journal of Petrology30, 667–709, 1989) in albitic glass and can be fitted by their regular ternary solution model using the coefficients for albitic glasses. Concentrations of molecular water measured in the quenched basaltic glasses are proportional to f H2O in all samples regardless of the composition of the vapor, demonstrating that the activity of molecular water in basaltic melts follows Henry's law at these pressures. A best fit to our data and existing higher-pressure water solubility data (Khitarov et al., Geochemistry5, 479–492, 1959; Hamilton et al., Journal of Petrology5, 21–39, 1964), assuming Henrian behavior for molecular water and that the dependence of molecular water content on total water content can be described by the regular solution model, gives estimates for the Vo, mH2O of 12±1 cm3/mol and for the 1-bar water solubility of 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 xml:space="preserve">11 wt%. Concentrations of CO2 dissolved as carbonate in the melt for pure CO2-saturated and mixed H2O-CO2-saturated experiments are a simple function of fCO2 These results suggest Henrian behavior for the activity of carbonate in basaltic melt and do not support the widely held view that water significantly enhances the solution of carbon dioxide in basaltic melts. Using a </w:instrText>
            </w:r>
            <w:r w:rsidR="00563332" w:rsidRPr="007C6C48">
              <w:rPr>
                <w:rFonts w:ascii="Roboto" w:hAnsi="Roboto"/>
                <w:color w:val="000000" w:themeColor="text1"/>
              </w:rPr>
              <w:instrText>Δ</w:instrText>
            </w:r>
            <w:r w:rsidR="00563332" w:rsidRPr="007C6C48">
              <w:rPr>
                <w:rFonts w:ascii="Roboto" w:hAnsi="Roboto"/>
                <w:color w:val="000000" w:themeColor="text1"/>
                <w:lang w:val="nl-NL"/>
              </w:rPr>
              <w:instrText>Vo, mr of 23 cm3/mol (Pan et al., Geochimica et Cosmochimica Acta55, 1587–1595, 1991), the solubility of carbonate in the melt at 1 bar and 1200°C is 0</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 xml:space="preserve">5 p.p.m. Our revised determination of CO2 solubility is </w:instrText>
            </w:r>
            <w:r w:rsidR="00563332" w:rsidRPr="007C6C48">
              <w:rPr>
                <w:rFonts w:ascii="Cambria Math" w:hAnsi="Cambria Math" w:cs="Cambria Math"/>
                <w:color w:val="000000" w:themeColor="text1"/>
                <w:lang w:val="nl-NL"/>
              </w:rPr>
              <w:instrText>∼</w:instrText>
            </w:r>
            <w:r w:rsidR="00563332" w:rsidRPr="007C6C48">
              <w:rPr>
                <w:rFonts w:ascii="Roboto" w:hAnsi="Roboto"/>
                <w:color w:val="000000" w:themeColor="text1"/>
                <w:lang w:val="nl-NL"/>
              </w:rPr>
              <w:instrText>20% higher than that reported by Stolper &amp; Holloway (Earth and Planetary Science Letters87, 397–408, 19…","author":[{"dropping-particle":"","family":"Dixon","given":"Jacqueline Eaby","non-dropping-particle":"","parse-names":false,"suffix":""},{"dropping-particle":"","family":"Stolper","given":"Edward M.","non-dropping-particle":"","parse-names":false,"suffix":""},{"dropping-particle":"","family":"Holloway","given":"John R.","non-dropping-particle":"","parse-names":false,"suffix":""}],"container-title":"Journal of Petrology","id":"ITEM-1","issue":"6","issued":{"date-parts":[["1995","12","1"]]},"page":"1607-1631","publisher":"Oxford University Press","title":"An experimental study of water and carbon dioxide solubilities in mid-ocean ridge basaltic liquids. Part I: Calibration and solubility models","type":"article-journal","volume":"36"},"uris":["http://www.mendeley.com/documents/?uuid=2e9900bf-0994-3bf3-bbcb-76f8502edb39"]}],"mendeley":{"formattedCitation":"(Dixon et al., 1995)","manualFormatting":"Dixon et al. (1995)","plainTextFormattedCitation":"(Dixon et al., 1995)","previouslyFormattedCitation":"(Dixon et al., 1995)"},"properties":{"noteIndex":0},"schema":"https://github.com/citation-style-language/schema/raw/master/csl-citation.json"}</w:instrText>
            </w:r>
            <w:r w:rsidR="00563332" w:rsidRPr="007C6C48">
              <w:rPr>
                <w:rFonts w:ascii="Roboto" w:hAnsi="Roboto"/>
                <w:color w:val="000000" w:themeColor="text1"/>
              </w:rPr>
              <w:fldChar w:fldCharType="separate"/>
            </w:r>
            <w:r w:rsidR="00563332" w:rsidRPr="007C6C48">
              <w:rPr>
                <w:rFonts w:ascii="Roboto" w:hAnsi="Roboto"/>
                <w:noProof/>
                <w:color w:val="000000" w:themeColor="text1"/>
                <w:lang w:val="nl-NL"/>
              </w:rPr>
              <w:t>Dixon et al. (1995)</w:t>
            </w:r>
            <w:r w:rsidR="00563332" w:rsidRPr="007C6C48">
              <w:rPr>
                <w:rFonts w:ascii="Roboto" w:hAnsi="Roboto"/>
                <w:color w:val="000000" w:themeColor="text1"/>
              </w:rPr>
              <w:fldChar w:fldCharType="end"/>
            </w:r>
          </w:p>
        </w:tc>
      </w:tr>
      <w:tr w:rsidR="00563332" w:rsidRPr="007C6C48" w14:paraId="47100074" w14:textId="77777777" w:rsidTr="00B061FC">
        <w:tc>
          <w:tcPr>
            <w:tcW w:w="3161" w:type="dxa"/>
          </w:tcPr>
          <w:p w14:paraId="3DF420FD" w14:textId="0FB223B2" w:rsidR="00563332" w:rsidRPr="007C6C48" w:rsidRDefault="00563332" w:rsidP="00563332">
            <w:pPr>
              <w:pStyle w:val="NoSpacing"/>
              <w:spacing w:after="0"/>
              <w:rPr>
                <w:rFonts w:ascii="Roboto" w:hAnsi="Roboto"/>
              </w:rPr>
            </w:pPr>
            <w:r w:rsidRPr="007C6C48">
              <w:rPr>
                <w:rFonts w:ascii="Roboto" w:hAnsi="Roboto"/>
              </w:rPr>
              <w:t>H</w:t>
            </w:r>
            <w:proofErr w:type="gramStart"/>
            <w:r w:rsidRPr="007C6C48">
              <w:rPr>
                <w:rFonts w:ascii="Roboto" w:hAnsi="Roboto"/>
                <w:vertAlign w:val="subscript"/>
              </w:rPr>
              <w:t>2,mol</w:t>
            </w:r>
            <w:proofErr w:type="gramEnd"/>
            <w:r w:rsidRPr="007C6C48">
              <w:rPr>
                <w:rFonts w:ascii="Roboto" w:hAnsi="Roboto"/>
                <w:vertAlign w:val="subscript"/>
              </w:rPr>
              <w:t xml:space="preserve"> </w:t>
            </w:r>
            <w:r w:rsidRPr="007C6C48">
              <w:rPr>
                <w:rFonts w:ascii="Roboto" w:hAnsi="Roboto"/>
              </w:rPr>
              <w:t xml:space="preserve">solubility </w:t>
            </w:r>
            <w:r w:rsidR="0086713C" w:rsidRPr="007C6C48">
              <w:rPr>
                <w:rFonts w:ascii="Roboto" w:hAnsi="Roboto"/>
              </w:rPr>
              <w:t>function</w:t>
            </w:r>
          </w:p>
        </w:tc>
        <w:tc>
          <w:tcPr>
            <w:tcW w:w="5855" w:type="dxa"/>
          </w:tcPr>
          <w:p w14:paraId="59A26BD7" w14:textId="7BA914D9" w:rsidR="00563332" w:rsidRPr="007C6C48" w:rsidRDefault="004D29E4" w:rsidP="00563332">
            <w:pPr>
              <w:pStyle w:val="NoSpacing"/>
              <w:spacing w:after="0"/>
              <w:rPr>
                <w:rFonts w:ascii="Roboto" w:hAnsi="Roboto"/>
              </w:rPr>
            </w:pPr>
            <w:r w:rsidRPr="007C6C48">
              <w:rPr>
                <w:rFonts w:ascii="Roboto" w:hAnsi="Roboto"/>
              </w:rPr>
              <w:t xml:space="preserve">Table S4 in </w:t>
            </w:r>
            <w:r w:rsidR="00563332" w:rsidRPr="007C6C48">
              <w:rPr>
                <w:rFonts w:ascii="Roboto" w:hAnsi="Roboto"/>
              </w:rPr>
              <w:fldChar w:fldCharType="begin" w:fldLock="1"/>
            </w:r>
            <w:r w:rsidR="00563332"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00563332" w:rsidRPr="007C6C48">
              <w:rPr>
                <w:rFonts w:ascii="Roboto" w:hAnsi="Roboto"/>
              </w:rPr>
              <w:fldChar w:fldCharType="separate"/>
            </w:r>
            <w:r w:rsidR="00563332" w:rsidRPr="007C6C48">
              <w:rPr>
                <w:rFonts w:ascii="Roboto" w:hAnsi="Roboto"/>
                <w:noProof/>
              </w:rPr>
              <w:t>Hughes et al. (2024)</w:t>
            </w:r>
            <w:r w:rsidR="00563332" w:rsidRPr="007C6C48">
              <w:rPr>
                <w:rFonts w:ascii="Roboto" w:hAnsi="Roboto"/>
              </w:rPr>
              <w:fldChar w:fldCharType="end"/>
            </w:r>
          </w:p>
        </w:tc>
      </w:tr>
      <w:tr w:rsidR="00563332" w:rsidRPr="007C6C48" w14:paraId="47E4DA4D" w14:textId="77777777" w:rsidTr="00B061FC">
        <w:tc>
          <w:tcPr>
            <w:tcW w:w="3161" w:type="dxa"/>
          </w:tcPr>
          <w:p w14:paraId="4BEE4AD1" w14:textId="174A9D76" w:rsidR="00563332" w:rsidRPr="007C6C48" w:rsidRDefault="00563332" w:rsidP="00563332">
            <w:pPr>
              <w:pStyle w:val="NoSpacing"/>
              <w:spacing w:after="0"/>
              <w:rPr>
                <w:rFonts w:ascii="Roboto" w:hAnsi="Roboto"/>
              </w:rPr>
            </w:pPr>
            <w:r w:rsidRPr="007C6C48">
              <w:rPr>
                <w:rFonts w:ascii="Roboto" w:hAnsi="Roboto"/>
              </w:rPr>
              <w:t>CO</w:t>
            </w:r>
            <w:r w:rsidRPr="007C6C48">
              <w:rPr>
                <w:rFonts w:ascii="Roboto" w:hAnsi="Roboto"/>
                <w:vertAlign w:val="subscript"/>
              </w:rPr>
              <w:t xml:space="preserve">mol </w:t>
            </w:r>
            <w:r w:rsidRPr="007C6C48">
              <w:rPr>
                <w:rFonts w:ascii="Roboto" w:hAnsi="Roboto"/>
              </w:rPr>
              <w:t xml:space="preserve">solubility </w:t>
            </w:r>
            <w:r w:rsidR="0086713C" w:rsidRPr="007C6C48">
              <w:rPr>
                <w:rFonts w:ascii="Roboto" w:hAnsi="Roboto"/>
              </w:rPr>
              <w:t>function</w:t>
            </w:r>
          </w:p>
        </w:tc>
        <w:tc>
          <w:tcPr>
            <w:tcW w:w="5855" w:type="dxa"/>
          </w:tcPr>
          <w:p w14:paraId="0FB90441" w14:textId="280F7B7F" w:rsidR="00563332" w:rsidRPr="007C6C48" w:rsidRDefault="004D29E4" w:rsidP="00563332">
            <w:pPr>
              <w:pStyle w:val="NoSpacing"/>
              <w:spacing w:after="0"/>
              <w:rPr>
                <w:rFonts w:ascii="Roboto" w:hAnsi="Roboto"/>
              </w:rPr>
            </w:pPr>
            <w:r w:rsidRPr="007C6C48">
              <w:rPr>
                <w:rFonts w:ascii="Roboto" w:hAnsi="Roboto"/>
              </w:rPr>
              <w:t xml:space="preserve">Table S4 in </w:t>
            </w:r>
            <w:r w:rsidR="00563332" w:rsidRPr="007C6C48">
              <w:rPr>
                <w:rFonts w:ascii="Roboto" w:hAnsi="Roboto"/>
              </w:rPr>
              <w:fldChar w:fldCharType="begin" w:fldLock="1"/>
            </w:r>
            <w:r w:rsidR="00563332"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00563332" w:rsidRPr="007C6C48">
              <w:rPr>
                <w:rFonts w:ascii="Roboto" w:hAnsi="Roboto"/>
              </w:rPr>
              <w:fldChar w:fldCharType="separate"/>
            </w:r>
            <w:r w:rsidR="00563332" w:rsidRPr="007C6C48">
              <w:rPr>
                <w:rFonts w:ascii="Roboto" w:hAnsi="Roboto"/>
                <w:noProof/>
              </w:rPr>
              <w:t>Hughes et al. (2024)</w:t>
            </w:r>
            <w:r w:rsidR="00563332" w:rsidRPr="007C6C48">
              <w:rPr>
                <w:rFonts w:ascii="Roboto" w:hAnsi="Roboto"/>
              </w:rPr>
              <w:fldChar w:fldCharType="end"/>
            </w:r>
          </w:p>
        </w:tc>
      </w:tr>
      <w:tr w:rsidR="00563332" w:rsidRPr="007C6C48" w14:paraId="1BA78FDB" w14:textId="77777777" w:rsidTr="00B061FC">
        <w:tc>
          <w:tcPr>
            <w:tcW w:w="3161" w:type="dxa"/>
          </w:tcPr>
          <w:p w14:paraId="319787A7" w14:textId="1786B23A" w:rsidR="00563332" w:rsidRPr="007C6C48" w:rsidRDefault="00563332" w:rsidP="00563332">
            <w:pPr>
              <w:pStyle w:val="NoSpacing"/>
              <w:spacing w:after="0"/>
              <w:rPr>
                <w:rFonts w:ascii="Roboto" w:hAnsi="Roboto"/>
              </w:rPr>
            </w:pPr>
            <w:r w:rsidRPr="007C6C48">
              <w:rPr>
                <w:rFonts w:ascii="Roboto" w:hAnsi="Roboto"/>
              </w:rPr>
              <w:t>CH</w:t>
            </w:r>
            <w:proofErr w:type="gramStart"/>
            <w:r w:rsidRPr="007C6C48">
              <w:rPr>
                <w:rFonts w:ascii="Roboto" w:hAnsi="Roboto"/>
                <w:vertAlign w:val="subscript"/>
              </w:rPr>
              <w:t>4,mol</w:t>
            </w:r>
            <w:proofErr w:type="gramEnd"/>
            <w:r w:rsidRPr="007C6C48">
              <w:rPr>
                <w:rFonts w:ascii="Roboto" w:hAnsi="Roboto"/>
              </w:rPr>
              <w:t xml:space="preserve"> solubility </w:t>
            </w:r>
            <w:r w:rsidR="0086713C" w:rsidRPr="007C6C48">
              <w:rPr>
                <w:rFonts w:ascii="Roboto" w:hAnsi="Roboto"/>
              </w:rPr>
              <w:t>function</w:t>
            </w:r>
          </w:p>
        </w:tc>
        <w:tc>
          <w:tcPr>
            <w:tcW w:w="5855" w:type="dxa"/>
          </w:tcPr>
          <w:p w14:paraId="1D3BD6AE" w14:textId="7C42545E" w:rsidR="00563332" w:rsidRPr="007C6C48" w:rsidRDefault="00563332" w:rsidP="00563332">
            <w:pPr>
              <w:pStyle w:val="NoSpacing"/>
              <w:spacing w:after="0"/>
              <w:rPr>
                <w:rFonts w:ascii="Roboto" w:hAnsi="Roboto"/>
              </w:rPr>
            </w:pPr>
            <w:r w:rsidRPr="007C6C48">
              <w:rPr>
                <w:rFonts w:ascii="Roboto" w:hAnsi="Roboto"/>
              </w:rPr>
              <w:t xml:space="preserve">Eq. (7a) from </w:t>
            </w:r>
            <w:r w:rsidRPr="007C6C48">
              <w:rPr>
                <w:rFonts w:ascii="Roboto" w:hAnsi="Roboto"/>
                <w:noProof/>
              </w:rPr>
              <w:t>Ardia et al. (2013)</w:t>
            </w:r>
          </w:p>
        </w:tc>
      </w:tr>
      <w:tr w:rsidR="00563332" w:rsidRPr="007C6C48" w14:paraId="48970140" w14:textId="77777777" w:rsidTr="00B061FC">
        <w:tc>
          <w:tcPr>
            <w:tcW w:w="3161" w:type="dxa"/>
          </w:tcPr>
          <w:p w14:paraId="06467258" w14:textId="463C7434" w:rsidR="00563332" w:rsidRPr="007C6C48" w:rsidRDefault="00563332" w:rsidP="00563332">
            <w:pPr>
              <w:pStyle w:val="NoSpacing"/>
              <w:spacing w:after="0"/>
              <w:rPr>
                <w:rFonts w:ascii="Roboto" w:hAnsi="Roboto"/>
              </w:rPr>
            </w:pPr>
            <w:r w:rsidRPr="007C6C48">
              <w:rPr>
                <w:rFonts w:ascii="Roboto" w:hAnsi="Roboto"/>
              </w:rPr>
              <w:t>*S</w:t>
            </w:r>
            <w:r w:rsidRPr="007C6C48">
              <w:rPr>
                <w:rFonts w:ascii="Roboto" w:hAnsi="Roboto"/>
                <w:vertAlign w:val="superscript"/>
              </w:rPr>
              <w:t>2-</w:t>
            </w:r>
            <w:r w:rsidRPr="007C6C48">
              <w:rPr>
                <w:rFonts w:ascii="Roboto" w:hAnsi="Roboto"/>
              </w:rPr>
              <w:t xml:space="preserve"> solubility </w:t>
            </w:r>
            <w:r w:rsidR="0086713C" w:rsidRPr="007C6C48">
              <w:rPr>
                <w:rFonts w:ascii="Roboto" w:hAnsi="Roboto"/>
              </w:rPr>
              <w:t>function</w:t>
            </w:r>
          </w:p>
        </w:tc>
        <w:tc>
          <w:tcPr>
            <w:tcW w:w="5855" w:type="dxa"/>
          </w:tcPr>
          <w:p w14:paraId="579D4CC5" w14:textId="4EDA2844" w:rsidR="00563332" w:rsidRPr="007C6C48" w:rsidRDefault="00563332" w:rsidP="00563332">
            <w:pPr>
              <w:pStyle w:val="NoSpacing"/>
              <w:spacing w:after="0"/>
              <w:rPr>
                <w:rFonts w:ascii="Roboto" w:hAnsi="Roboto"/>
              </w:rPr>
            </w:pPr>
            <w:r w:rsidRPr="007C6C48">
              <w:rPr>
                <w:rFonts w:ascii="Roboto" w:hAnsi="Roboto"/>
              </w:rPr>
              <w:t xml:space="preserve">Eq. (10.43) from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r w:rsidRPr="007C6C48">
              <w:rPr>
                <w:rFonts w:ascii="Roboto" w:hAnsi="Roboto"/>
              </w:rPr>
              <w:t xml:space="preserve"> (including the effect of H</w:t>
            </w:r>
            <w:r w:rsidRPr="007C6C48">
              <w:rPr>
                <w:rFonts w:ascii="Roboto" w:hAnsi="Roboto"/>
                <w:vertAlign w:val="subscript"/>
              </w:rPr>
              <w:t>2</w:t>
            </w:r>
            <w:r w:rsidRPr="007C6C48">
              <w:rPr>
                <w:rFonts w:ascii="Roboto" w:hAnsi="Roboto"/>
              </w:rPr>
              <w:t>O dilution)</w:t>
            </w:r>
          </w:p>
        </w:tc>
      </w:tr>
      <w:tr w:rsidR="00563332" w:rsidRPr="007C6C48" w14:paraId="4D81D472" w14:textId="77777777" w:rsidTr="00B061FC">
        <w:tc>
          <w:tcPr>
            <w:tcW w:w="3161" w:type="dxa"/>
          </w:tcPr>
          <w:p w14:paraId="6417CC5D" w14:textId="05757155" w:rsidR="00563332" w:rsidRPr="007C6C48" w:rsidRDefault="00563332" w:rsidP="00563332">
            <w:pPr>
              <w:pStyle w:val="NoSpacing"/>
              <w:spacing w:after="0"/>
              <w:rPr>
                <w:rFonts w:ascii="Roboto" w:hAnsi="Roboto"/>
              </w:rPr>
            </w:pPr>
            <w:r w:rsidRPr="007C6C48">
              <w:rPr>
                <w:rFonts w:ascii="Roboto" w:hAnsi="Roboto"/>
              </w:rPr>
              <w:t>SO</w:t>
            </w:r>
            <w:r w:rsidRPr="007C6C48">
              <w:rPr>
                <w:rFonts w:ascii="Roboto" w:hAnsi="Roboto"/>
                <w:vertAlign w:val="subscript"/>
              </w:rPr>
              <w:t>4</w:t>
            </w:r>
            <w:r w:rsidRPr="007C6C48">
              <w:rPr>
                <w:rFonts w:ascii="Roboto" w:hAnsi="Roboto"/>
                <w:vertAlign w:val="superscript"/>
              </w:rPr>
              <w:t>2-</w:t>
            </w:r>
            <w:r w:rsidRPr="007C6C48">
              <w:rPr>
                <w:rFonts w:ascii="Roboto" w:hAnsi="Roboto"/>
              </w:rPr>
              <w:t xml:space="preserve"> solubility </w:t>
            </w:r>
            <w:r w:rsidR="0086713C" w:rsidRPr="007C6C48">
              <w:rPr>
                <w:rFonts w:ascii="Roboto" w:hAnsi="Roboto"/>
              </w:rPr>
              <w:t>function</w:t>
            </w:r>
          </w:p>
        </w:tc>
        <w:tc>
          <w:tcPr>
            <w:tcW w:w="5855" w:type="dxa"/>
          </w:tcPr>
          <w:p w14:paraId="0007FD02" w14:textId="6F19AEBD" w:rsidR="00563332" w:rsidRPr="007C6C48" w:rsidRDefault="00563332" w:rsidP="00563332">
            <w:pPr>
              <w:pStyle w:val="NoSpacing"/>
              <w:spacing w:after="0"/>
              <w:rPr>
                <w:rFonts w:ascii="Roboto" w:hAnsi="Roboto"/>
              </w:rPr>
            </w:pPr>
            <w:r w:rsidRPr="007C6C48">
              <w:rPr>
                <w:rFonts w:ascii="Roboto" w:hAnsi="Roboto"/>
              </w:rPr>
              <w:t xml:space="preserve">Eq. (12a) from </w:t>
            </w:r>
            <w:r w:rsidRPr="007C6C48">
              <w:rPr>
                <w:rFonts w:ascii="Roboto" w:hAnsi="Roboto"/>
              </w:rPr>
              <w:fldChar w:fldCharType="begin" w:fldLock="1"/>
            </w:r>
            <w:r w:rsidRPr="007C6C48">
              <w:rPr>
                <w:rFonts w:ascii="Roboto" w:hAnsi="Roboto"/>
              </w:rPr>
              <w:instrText>ADDIN CSL_CITATION {"citationItems":[{"id":"ITEM-1","itemData":{"DOI":"10.1016/J.GCA.2022.06.020","ISSN":"0016-7037","author":[{"dropping-particle":"","family":"O'Neill","given":"Hugh St. C.","non-dropping-particle":"","parse-names":false,"suffix":""},{"dropping-particle":"","family":"Mavrogenes","given":"John A.","non-dropping-particle":"","parse-names":false,"suffix":""}],"container-title":"Geochimica et Cosmochimica Acta","id":"ITEM-1","issued":{"date-parts":[["2022","6","27"]]},"publisher":"Pergamon","title":"The sulfate capacities of silicate melts","type":"article-journal"},"uris":["http://www.mendeley.com/documents/?uuid=28383afe-41b6-312f-a795-212a394fed74"]}],"mendeley":{"formattedCitation":"(O’Neill and Mavrogenes, 2022)","manualFormatting":"O’Neill and Mavrogenes (2022)","plainTextFormattedCitation":"(O’Neill and Mavrogenes, 2022)","previouslyFormattedCitation":"(O’Neill and Mavrogenes, 2022)"},"properties":{"noteIndex":0},"schema":"https://github.com/citation-style-language/schema/raw/master/csl-citation.json"}</w:instrText>
            </w:r>
            <w:r w:rsidRPr="007C6C48">
              <w:rPr>
                <w:rFonts w:ascii="Roboto" w:hAnsi="Roboto"/>
              </w:rPr>
              <w:fldChar w:fldCharType="separate"/>
            </w:r>
            <w:r w:rsidRPr="007C6C48">
              <w:rPr>
                <w:rFonts w:ascii="Roboto" w:hAnsi="Roboto"/>
                <w:noProof/>
              </w:rPr>
              <w:t>O’Neill and Mavrogenes (2022)</w:t>
            </w:r>
            <w:r w:rsidRPr="007C6C48">
              <w:rPr>
                <w:rFonts w:ascii="Roboto" w:hAnsi="Roboto"/>
              </w:rPr>
              <w:fldChar w:fldCharType="end"/>
            </w:r>
            <w:r w:rsidRPr="007C6C48">
              <w:rPr>
                <w:rFonts w:ascii="Roboto" w:hAnsi="Roboto"/>
              </w:rPr>
              <w:t xml:space="preserve"> (including the effect of H</w:t>
            </w:r>
            <w:r w:rsidRPr="007C6C48">
              <w:rPr>
                <w:rFonts w:ascii="Roboto" w:hAnsi="Roboto"/>
                <w:vertAlign w:val="subscript"/>
              </w:rPr>
              <w:t>2</w:t>
            </w:r>
            <w:r w:rsidRPr="007C6C48">
              <w:rPr>
                <w:rFonts w:ascii="Roboto" w:hAnsi="Roboto"/>
              </w:rPr>
              <w:t>O dilution)</w:t>
            </w:r>
          </w:p>
        </w:tc>
      </w:tr>
      <w:tr w:rsidR="00563332" w:rsidRPr="007C6C48" w14:paraId="6E3BC9E9" w14:textId="77777777" w:rsidTr="00B061FC">
        <w:tc>
          <w:tcPr>
            <w:tcW w:w="3161" w:type="dxa"/>
          </w:tcPr>
          <w:p w14:paraId="08C00564" w14:textId="69A5997F" w:rsidR="00563332" w:rsidRPr="007C6C48" w:rsidRDefault="00563332" w:rsidP="00563332">
            <w:pPr>
              <w:pStyle w:val="NoSpacing"/>
              <w:spacing w:after="0"/>
              <w:rPr>
                <w:rFonts w:ascii="Roboto" w:hAnsi="Roboto"/>
              </w:rPr>
            </w:pPr>
            <w:r w:rsidRPr="007C6C48">
              <w:rPr>
                <w:rFonts w:ascii="Roboto" w:hAnsi="Roboto"/>
              </w:rPr>
              <w:t>H</w:t>
            </w:r>
            <w:r w:rsidRPr="007C6C48">
              <w:rPr>
                <w:rFonts w:ascii="Roboto" w:hAnsi="Roboto"/>
                <w:vertAlign w:val="subscript"/>
              </w:rPr>
              <w:t>2</w:t>
            </w:r>
            <w:r w:rsidRPr="007C6C48">
              <w:rPr>
                <w:rFonts w:ascii="Roboto" w:hAnsi="Roboto"/>
              </w:rPr>
              <w:t>S</w:t>
            </w:r>
            <w:r w:rsidRPr="007C6C48">
              <w:rPr>
                <w:rFonts w:ascii="Roboto" w:hAnsi="Roboto"/>
                <w:vertAlign w:val="subscript"/>
              </w:rPr>
              <w:t>mol</w:t>
            </w:r>
            <w:r w:rsidRPr="007C6C48">
              <w:rPr>
                <w:rFonts w:ascii="Roboto" w:hAnsi="Roboto"/>
              </w:rPr>
              <w:t xml:space="preserve"> solubility </w:t>
            </w:r>
            <w:r w:rsidR="0086713C" w:rsidRPr="007C6C48">
              <w:rPr>
                <w:rFonts w:ascii="Roboto" w:hAnsi="Roboto"/>
              </w:rPr>
              <w:t>function</w:t>
            </w:r>
          </w:p>
        </w:tc>
        <w:tc>
          <w:tcPr>
            <w:tcW w:w="5855" w:type="dxa"/>
          </w:tcPr>
          <w:p w14:paraId="499B84A0" w14:textId="1F06A8F4" w:rsidR="00563332" w:rsidRPr="007C6C48" w:rsidRDefault="004D29E4" w:rsidP="00563332">
            <w:pPr>
              <w:pStyle w:val="NoSpacing"/>
              <w:spacing w:after="0"/>
              <w:rPr>
                <w:rFonts w:ascii="Roboto" w:hAnsi="Roboto"/>
              </w:rPr>
            </w:pPr>
            <w:r w:rsidRPr="007C6C48">
              <w:rPr>
                <w:rFonts w:ascii="Roboto" w:hAnsi="Roboto"/>
              </w:rPr>
              <w:t xml:space="preserve">Fig. S6 in </w:t>
            </w:r>
            <w:r w:rsidR="00563332" w:rsidRPr="007C6C48">
              <w:rPr>
                <w:rFonts w:ascii="Roboto" w:hAnsi="Roboto"/>
              </w:rPr>
              <w:fldChar w:fldCharType="begin" w:fldLock="1"/>
            </w:r>
            <w:r w:rsidR="00563332" w:rsidRPr="007C6C48">
              <w:rPr>
                <w:rFonts w:ascii="Roboto" w:hAnsi="Roboto"/>
              </w:rPr>
              <w:instrText>ADDIN CSL_CITATION {"citationItems":[{"id":"ITEM-1","itemData":{"author":[{"dropping-particle":"","family":"Hughes","given":"Ery Catherine","non-dropping-particle":"","parse-names":false,"suffix":""},{"dropping-particle":"","family":"Liggins","given":"Philippa","non-dropping-particle":"","parse-names":false,"suffix":""},{"dropping-particle":"","family":"Saper","given":"Lee","non-dropping-particle":"","parse-names":false,"suffix":""},{"dropping-particle":"","family":"Stolper","given":"Edward M.","non-dropping-particle":"","parse-names":false,"suffix":""}],"container-title":"American Mineralogist","id":"ITEM-1","issued":{"date-parts":[["2024"]]},"page":"422-438","title":"The effects of oxygen fugacity and sulfur on the pressure of vapor-saturation of magma","type":"article-journal","volume":"109"},"uris":["http://www.mendeley.com/documents/?uuid=83762a38-efaa-4286-95f2-a78d55251540"]}],"mendeley":{"formattedCitation":"(Hughes et al., 2024)","manualFormatting":"Hughes et al. (2024)","plainTextFormattedCitation":"(Hughes et al., 2024)","previouslyFormattedCitation":"(Hughes et al., 2024b)"},"properties":{"noteIndex":0},"schema":"https://github.com/citation-style-language/schema/raw/master/csl-citation.json"}</w:instrText>
            </w:r>
            <w:r w:rsidR="00563332" w:rsidRPr="007C6C48">
              <w:rPr>
                <w:rFonts w:ascii="Roboto" w:hAnsi="Roboto"/>
              </w:rPr>
              <w:fldChar w:fldCharType="separate"/>
            </w:r>
            <w:r w:rsidR="00563332" w:rsidRPr="007C6C48">
              <w:rPr>
                <w:rFonts w:ascii="Roboto" w:hAnsi="Roboto"/>
                <w:noProof/>
              </w:rPr>
              <w:t>Hughes et al. (2024)</w:t>
            </w:r>
            <w:r w:rsidR="00563332" w:rsidRPr="007C6C48">
              <w:rPr>
                <w:rFonts w:ascii="Roboto" w:hAnsi="Roboto"/>
              </w:rPr>
              <w:fldChar w:fldCharType="end"/>
            </w:r>
          </w:p>
        </w:tc>
      </w:tr>
      <w:tr w:rsidR="00563332" w:rsidRPr="007C6C48" w14:paraId="6BE640B2" w14:textId="77777777" w:rsidTr="00B061FC">
        <w:tc>
          <w:tcPr>
            <w:tcW w:w="3161" w:type="dxa"/>
          </w:tcPr>
          <w:p w14:paraId="06BDDD0B" w14:textId="75C4C8AB" w:rsidR="00563332" w:rsidRPr="007C6C48" w:rsidRDefault="00563332" w:rsidP="00563332">
            <w:pPr>
              <w:pStyle w:val="NoSpacing"/>
              <w:spacing w:after="0"/>
              <w:rPr>
                <w:rFonts w:ascii="Roboto" w:hAnsi="Roboto"/>
              </w:rPr>
            </w:pPr>
            <w:proofErr w:type="gramStart"/>
            <w:r w:rsidRPr="007C6C48">
              <w:rPr>
                <w:rFonts w:ascii="Roboto" w:hAnsi="Roboto"/>
              </w:rPr>
              <w:t>CO</w:t>
            </w:r>
            <w:r w:rsidRPr="007C6C48">
              <w:rPr>
                <w:rFonts w:ascii="Roboto" w:hAnsi="Roboto"/>
                <w:vertAlign w:val="subscript"/>
              </w:rPr>
              <w:t>2,T</w:t>
            </w:r>
            <w:proofErr w:type="gramEnd"/>
            <w:r w:rsidRPr="007C6C48">
              <w:rPr>
                <w:rFonts w:ascii="Roboto" w:hAnsi="Roboto"/>
              </w:rPr>
              <w:t xml:space="preserve"> </w:t>
            </w:r>
            <w:r w:rsidR="00CF6F46" w:rsidRPr="007C6C48">
              <w:rPr>
                <w:rFonts w:ascii="Roboto" w:hAnsi="Roboto"/>
              </w:rPr>
              <w:t>equilibrium constant</w:t>
            </w:r>
          </w:p>
        </w:tc>
        <w:tc>
          <w:tcPr>
            <w:tcW w:w="5855" w:type="dxa"/>
          </w:tcPr>
          <w:p w14:paraId="3CD5A9F7" w14:textId="77777777" w:rsidR="00563332" w:rsidRPr="007C6C48" w:rsidRDefault="00563332" w:rsidP="00563332">
            <w:pPr>
              <w:pStyle w:val="NoSpacing"/>
              <w:spacing w:after="0"/>
              <w:rPr>
                <w:rFonts w:ascii="Roboto" w:hAnsi="Roboto"/>
                <w:color w:val="000000" w:themeColor="text1"/>
              </w:rPr>
            </w:pPr>
            <w:r w:rsidRPr="007C6C48">
              <w:rPr>
                <w:rFonts w:ascii="Roboto" w:hAnsi="Roboto"/>
                <w:color w:val="000000" w:themeColor="text1"/>
              </w:rPr>
              <w:t>All CO</w:t>
            </w:r>
            <w:r w:rsidRPr="007C6C48">
              <w:rPr>
                <w:rFonts w:ascii="Roboto" w:hAnsi="Roboto"/>
                <w:color w:val="000000" w:themeColor="text1"/>
                <w:vertAlign w:val="subscript"/>
              </w:rPr>
              <w:t>3</w:t>
            </w:r>
            <w:r w:rsidRPr="007C6C48">
              <w:rPr>
                <w:rFonts w:ascii="Roboto" w:hAnsi="Roboto"/>
                <w:color w:val="000000" w:themeColor="text1"/>
                <w:vertAlign w:val="superscript"/>
              </w:rPr>
              <w:t>2-</w:t>
            </w:r>
            <w:r w:rsidRPr="007C6C48">
              <w:rPr>
                <w:rFonts w:ascii="Roboto" w:hAnsi="Roboto"/>
                <w:color w:val="000000" w:themeColor="text1"/>
              </w:rPr>
              <w:t xml:space="preserve"> as basalt</w:t>
            </w:r>
          </w:p>
        </w:tc>
      </w:tr>
      <w:tr w:rsidR="00563332" w:rsidRPr="007C6C48" w14:paraId="3993A354" w14:textId="77777777" w:rsidTr="001D7C4F">
        <w:trPr>
          <w:trHeight w:val="359"/>
        </w:trPr>
        <w:tc>
          <w:tcPr>
            <w:tcW w:w="3161" w:type="dxa"/>
          </w:tcPr>
          <w:p w14:paraId="7B4CCFF1" w14:textId="77777777" w:rsidR="00563332" w:rsidRPr="007C6C48" w:rsidRDefault="00563332" w:rsidP="00563332">
            <w:pPr>
              <w:pStyle w:val="NoSpacing"/>
              <w:spacing w:after="0"/>
              <w:rPr>
                <w:rFonts w:ascii="Roboto" w:hAnsi="Roboto"/>
              </w:rPr>
            </w:pPr>
            <w:r w:rsidRPr="007C6C48">
              <w:rPr>
                <w:rFonts w:ascii="Roboto" w:hAnsi="Roboto"/>
              </w:rPr>
              <w:t>Fe</w:t>
            </w:r>
            <w:r w:rsidRPr="007C6C48">
              <w:rPr>
                <w:rFonts w:ascii="Roboto" w:hAnsi="Roboto"/>
                <w:vertAlign w:val="superscript"/>
              </w:rPr>
              <w:t>3+</w:t>
            </w:r>
            <w:r w:rsidRPr="007C6C48">
              <w:rPr>
                <w:rFonts w:ascii="Roboto" w:hAnsi="Roboto"/>
              </w:rPr>
              <w:t>/Fe</w:t>
            </w:r>
            <w:r w:rsidRPr="007C6C48">
              <w:rPr>
                <w:rFonts w:ascii="Roboto" w:hAnsi="Roboto"/>
                <w:vertAlign w:val="subscript"/>
              </w:rPr>
              <w:t>T</w:t>
            </w:r>
          </w:p>
        </w:tc>
        <w:tc>
          <w:tcPr>
            <w:tcW w:w="5855" w:type="dxa"/>
          </w:tcPr>
          <w:p w14:paraId="4CD24451" w14:textId="21B4E5DD" w:rsidR="00563332" w:rsidRPr="007C6C48" w:rsidRDefault="00563332" w:rsidP="00563332">
            <w:pPr>
              <w:pStyle w:val="NoSpacing"/>
              <w:spacing w:after="0"/>
              <w:rPr>
                <w:rFonts w:ascii="Roboto" w:hAnsi="Roboto"/>
                <w:color w:val="4472C4" w:themeColor="accent1"/>
              </w:rPr>
            </w:pPr>
            <w:r w:rsidRPr="007C6C48">
              <w:rPr>
                <w:rFonts w:ascii="Roboto" w:hAnsi="Roboto"/>
              </w:rPr>
              <w:t xml:space="preserve">Eq. </w:t>
            </w:r>
            <w:r w:rsidR="004D29E4" w:rsidRPr="007C6C48">
              <w:rPr>
                <w:rFonts w:ascii="Roboto" w:hAnsi="Roboto"/>
              </w:rPr>
              <w:t>(</w:t>
            </w:r>
            <w:r w:rsidRPr="007C6C48">
              <w:rPr>
                <w:rFonts w:ascii="Roboto" w:hAnsi="Roboto"/>
              </w:rPr>
              <w:t>A-5</w:t>
            </w:r>
            <w:r w:rsidR="004D29E4" w:rsidRPr="007C6C48">
              <w:rPr>
                <w:rFonts w:ascii="Roboto" w:hAnsi="Roboto"/>
              </w:rPr>
              <w:t xml:space="preserve">, </w:t>
            </w:r>
            <w:r w:rsidRPr="007C6C48">
              <w:rPr>
                <w:rFonts w:ascii="Roboto" w:hAnsi="Roboto"/>
              </w:rPr>
              <w:t>6</w:t>
            </w:r>
            <w:r w:rsidR="004D29E4" w:rsidRPr="007C6C48">
              <w:rPr>
                <w:rFonts w:ascii="Roboto" w:hAnsi="Roboto"/>
              </w:rPr>
              <w:t>)</w:t>
            </w:r>
            <w:r w:rsidRPr="007C6C48">
              <w:rPr>
                <w:rFonts w:ascii="Roboto" w:hAnsi="Roboto"/>
              </w:rPr>
              <w:t xml:space="preserve"> from </w:t>
            </w:r>
            <w:r w:rsidRPr="007C6C48">
              <w:rPr>
                <w:rFonts w:ascii="Roboto" w:hAnsi="Roboto"/>
              </w:rPr>
              <w:fldChar w:fldCharType="begin" w:fldLock="1"/>
            </w:r>
            <w:r w:rsidRPr="007C6C48">
              <w:rPr>
                <w:rFonts w:ascii="Roboto" w:hAnsi="Roboto"/>
              </w:rPr>
              <w:instrText>ADDIN CSL_CITATION {"citationItems":[{"id":"ITEM-1","itemData":{"DOI":"10.1007/BF00307328","ISSN":"0010-7999","author":[{"dropping-particle":"","family":"Kress","given":"Victor C.","non-dropping-particle":"","parse-names":false,"suffix":""},{"dropping-particle":"","family":"Carmichael","given":"Ian S.E.","non-dropping-particle":"","parse-names":false,"suffix":""}],"container-title":"Contributions to Mineralogy and Petrology","id":"ITEM-1","issue":"1-2","issued":{"date-parts":[["1991","7"]]},"page":"82-92","publisher":"Springer-Verlag","title":"The compressibility of silicate liquids containing Fe2O3 and the effect of composition, temperature, oxygen fugacity and pressure on their redox states","type":"article-journal","volume":"108"},"uris":["http://www.mendeley.com/documents/?uuid=4fd02c6e-2af3-3005-b01a-e2a8c18e2b90"]}],"mendeley":{"formattedCitation":"(Kress and Carmichael, 1991)","manualFormatting":"Kress and Carmichael (1991)","plainTextFormattedCitation":"(Kress and Carmichael, 1991)","previouslyFormattedCitation":"(Kress and Carmichael,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Kress and Carmichael (1991)</w:t>
            </w:r>
            <w:r w:rsidRPr="007C6C48">
              <w:rPr>
                <w:rFonts w:ascii="Roboto" w:hAnsi="Roboto"/>
              </w:rPr>
              <w:fldChar w:fldCharType="end"/>
            </w:r>
          </w:p>
        </w:tc>
      </w:tr>
      <w:tr w:rsidR="00563332" w:rsidRPr="007C6C48" w14:paraId="3E268C4A" w14:textId="77777777" w:rsidTr="00B061FC">
        <w:tc>
          <w:tcPr>
            <w:tcW w:w="3161" w:type="dxa"/>
          </w:tcPr>
          <w:p w14:paraId="6FEDA76D" w14:textId="77777777" w:rsidR="00563332" w:rsidRPr="007C6C48" w:rsidRDefault="00563332" w:rsidP="00563332">
            <w:pPr>
              <w:pStyle w:val="NoSpacing"/>
              <w:spacing w:after="0"/>
              <w:rPr>
                <w:rFonts w:ascii="Roboto" w:hAnsi="Roboto"/>
              </w:rPr>
            </w:pPr>
            <w:r w:rsidRPr="007C6C48">
              <w:rPr>
                <w:rFonts w:ascii="Roboto" w:hAnsi="Roboto"/>
              </w:rPr>
              <w:t>FMQ buffer</w:t>
            </w:r>
          </w:p>
        </w:tc>
        <w:tc>
          <w:tcPr>
            <w:tcW w:w="5855" w:type="dxa"/>
          </w:tcPr>
          <w:p w14:paraId="0B3CFF9B" w14:textId="114A5EE8" w:rsidR="00563332" w:rsidRPr="007C6C48" w:rsidRDefault="001D7C4F" w:rsidP="00563332">
            <w:pPr>
              <w:pStyle w:val="NoSpacing"/>
              <w:spacing w:after="0"/>
              <w:rPr>
                <w:rFonts w:ascii="Roboto" w:hAnsi="Roboto"/>
              </w:rPr>
            </w:pPr>
            <w:r w:rsidRPr="007C6C48">
              <w:rPr>
                <w:rFonts w:ascii="Roboto" w:hAnsi="Roboto"/>
              </w:rPr>
              <w:fldChar w:fldCharType="begin" w:fldLock="1"/>
            </w:r>
            <w:r w:rsidRPr="007C6C48">
              <w:rPr>
                <w:rFonts w:ascii="Roboto" w:hAnsi="Roboto"/>
              </w:rPr>
              <w:instrText>ADDIN CSL_CITATION {"citationItems":[{"id":"ITEM-1","itemData":{"author":[{"dropping-particle":"","family":"Frost","given":"B.R.","non-dropping-particle":"","parse-names":false,"suffix":""}],"container-title":"Reviews in Mineralogy and Geochemistry","id":"ITEM-1","issued":{"date-parts":[["1991"]]},"page":"1-9","title":"Introduction to oxygen fugacity and its petrologic importance","type":"article-journal","volume":"25"},"uris":["http://www.mendeley.com/documents/?uuid=70e1612a-8a8a-33bd-ab8d-03de936a01fd"]}],"mendeley":{"formattedCitation":"(Frost, 1991)","manualFormatting":"Frost (1991)","plainTextFormattedCitation":"(Frost, 1991)","previouslyFormattedCitation":"(Frost, 1991)"},"properties":{"noteIndex":0},"schema":"https://github.com/citation-style-language/schema/raw/master/csl-citation.json"}</w:instrText>
            </w:r>
            <w:r w:rsidRPr="007C6C48">
              <w:rPr>
                <w:rFonts w:ascii="Roboto" w:hAnsi="Roboto"/>
              </w:rPr>
              <w:fldChar w:fldCharType="separate"/>
            </w:r>
            <w:r w:rsidRPr="007C6C48">
              <w:rPr>
                <w:rFonts w:ascii="Roboto" w:hAnsi="Roboto"/>
                <w:noProof/>
              </w:rPr>
              <w:t>Frost (1991)</w:t>
            </w:r>
            <w:r w:rsidRPr="007C6C48">
              <w:rPr>
                <w:rFonts w:ascii="Roboto" w:hAnsi="Roboto"/>
              </w:rPr>
              <w:fldChar w:fldCharType="end"/>
            </w:r>
          </w:p>
        </w:tc>
      </w:tr>
      <w:tr w:rsidR="00563332" w:rsidRPr="007C6C48" w14:paraId="29D34B5D" w14:textId="77777777" w:rsidTr="00B061FC">
        <w:tc>
          <w:tcPr>
            <w:tcW w:w="3161" w:type="dxa"/>
          </w:tcPr>
          <w:p w14:paraId="67E0C873" w14:textId="77777777" w:rsidR="00563332" w:rsidRPr="007C6C48" w:rsidRDefault="00563332" w:rsidP="00563332">
            <w:pPr>
              <w:pStyle w:val="NoSpacing"/>
              <w:spacing w:after="0"/>
              <w:rPr>
                <w:rFonts w:ascii="Roboto" w:hAnsi="Roboto"/>
              </w:rPr>
            </w:pPr>
            <w:r w:rsidRPr="007C6C48">
              <w:rPr>
                <w:rFonts w:ascii="Roboto" w:hAnsi="Roboto"/>
              </w:rPr>
              <w:t>S</w:t>
            </w:r>
            <w:r w:rsidRPr="007C6C48">
              <w:rPr>
                <w:rFonts w:ascii="Roboto" w:hAnsi="Roboto"/>
                <w:vertAlign w:val="superscript"/>
              </w:rPr>
              <w:t>2-</w:t>
            </w:r>
            <w:r w:rsidRPr="007C6C48">
              <w:rPr>
                <w:rFonts w:ascii="Roboto" w:hAnsi="Roboto"/>
              </w:rPr>
              <w:t>CSS</w:t>
            </w:r>
          </w:p>
        </w:tc>
        <w:tc>
          <w:tcPr>
            <w:tcW w:w="5855" w:type="dxa"/>
          </w:tcPr>
          <w:p w14:paraId="3576CE40" w14:textId="2E8E7304" w:rsidR="00563332" w:rsidRPr="007C6C48" w:rsidRDefault="00563332" w:rsidP="00563332">
            <w:pPr>
              <w:pStyle w:val="NoSpacing"/>
              <w:spacing w:after="0"/>
              <w:rPr>
                <w:rFonts w:ascii="Roboto" w:hAnsi="Roboto"/>
              </w:rPr>
            </w:pPr>
            <w:r w:rsidRPr="007C6C48">
              <w:rPr>
                <w:rFonts w:ascii="Roboto" w:hAnsi="Roboto"/>
              </w:rPr>
              <w:t xml:space="preserve">Eq. </w:t>
            </w:r>
            <w:r w:rsidRPr="007C6C48">
              <w:rPr>
                <w:rFonts w:ascii="Roboto" w:hAnsi="Roboto"/>
                <w:color w:val="000000" w:themeColor="text1"/>
              </w:rPr>
              <w:t>(</w:t>
            </w:r>
            <w:r w:rsidRPr="007C6C48">
              <w:rPr>
                <w:rFonts w:ascii="Roboto" w:hAnsi="Roboto"/>
              </w:rPr>
              <w:t>10.34, 10.43, 10.45, 10.46</w:t>
            </w:r>
            <w:r w:rsidRPr="007C6C48">
              <w:rPr>
                <w:rFonts w:ascii="Roboto" w:hAnsi="Roboto"/>
                <w:color w:val="000000" w:themeColor="text1"/>
              </w:rPr>
              <w:t>)</w:t>
            </w:r>
            <w:r w:rsidRPr="007C6C48">
              <w:rPr>
                <w:rFonts w:ascii="Roboto" w:hAnsi="Roboto"/>
              </w:rPr>
              <w:t xml:space="preserve"> in </w:t>
            </w:r>
            <w:r w:rsidRPr="007C6C48">
              <w:rPr>
                <w:rFonts w:ascii="Roboto" w:hAnsi="Roboto"/>
                <w:color w:val="000000" w:themeColor="text1"/>
              </w:rPr>
              <w:fldChar w:fldCharType="begin" w:fldLock="1"/>
            </w:r>
            <w:r w:rsidRPr="007C6C48">
              <w:rPr>
                <w:rFonts w:ascii="Roboto" w:hAnsi="Roboto"/>
                <w:color w:val="000000" w:themeColor="text1"/>
              </w:rPr>
              <w:instrText>ADDIN CSL_CITATION {"citationItems":[{"id":"ITEM-1","itemData":{"DOI":"10.1002/9781119473206.ch10","abstract":"A thermodynamic model to calculate the “Sulfide Content at Sulfide Saturation” or SCSS of basaltic and intermediate composition silicate melts has been built from four independently measurable ther...","author":[{"dropping-particle":"","family":"O'Neill","given":"Hugh St. C.","non-dropping-particle":"","parse-names":false,"suffix":""}],"container-title":"Magma Redox Geochemistry, Geophysical Monograph Series","editor":[{"dropping-particle":"","family":"Moretti","given":"Roberto","non-dropping-particle":"","parse-names":false,"suffix":""},{"dropping-particle":"","family":"Neuville","given":"Daniel R.","non-dropping-particle":"","parse-names":false,"suffix":""}],"id":"ITEM-1","issued":{"date-parts":[["2021"]]},"page":"177-213","publisher":"John Wiley &amp; Sons, Inc.","title":"The thermodynamic controls on sulfide saturation in silicate melts with application to Ocean Floor Basalts.","type":"chapter"},"uris":["http://www.mendeley.com/documents/?uuid=6f3ae3ca-6ecd-3137-8bfc-f37a8f3fea2a"]}],"mendeley":{"formattedCitation":"(O’Neill, 2021)","manualFormatting":"O’Neill (2021)","plainTextFormattedCitation":"(O’Neill, 2021)","previouslyFormattedCitation":"(O’Neill, 2021)"},"properties":{"noteIndex":0},"schema":"https://github.com/citation-style-language/schema/raw/master/csl-citation.json"}</w:instrText>
            </w:r>
            <w:r w:rsidRPr="007C6C48">
              <w:rPr>
                <w:rFonts w:ascii="Roboto" w:hAnsi="Roboto"/>
                <w:color w:val="000000" w:themeColor="text1"/>
              </w:rPr>
              <w:fldChar w:fldCharType="separate"/>
            </w:r>
            <w:r w:rsidRPr="007C6C48">
              <w:rPr>
                <w:rFonts w:ascii="Roboto" w:hAnsi="Roboto"/>
                <w:noProof/>
                <w:color w:val="000000" w:themeColor="text1"/>
              </w:rPr>
              <w:t>O’Neill (2021)</w:t>
            </w:r>
            <w:r w:rsidRPr="007C6C48">
              <w:rPr>
                <w:rFonts w:ascii="Roboto" w:hAnsi="Roboto"/>
                <w:color w:val="000000" w:themeColor="text1"/>
              </w:rPr>
              <w:fldChar w:fldCharType="end"/>
            </w:r>
          </w:p>
        </w:tc>
      </w:tr>
      <w:tr w:rsidR="00563332" w:rsidRPr="007C6C48" w14:paraId="1ECA729C" w14:textId="77777777" w:rsidTr="00B061FC">
        <w:tc>
          <w:tcPr>
            <w:tcW w:w="3161" w:type="dxa"/>
          </w:tcPr>
          <w:p w14:paraId="29FEE7A8" w14:textId="77777777" w:rsidR="00563332" w:rsidRPr="007C6C48" w:rsidRDefault="00563332" w:rsidP="00563332">
            <w:pPr>
              <w:pStyle w:val="NoSpacing"/>
              <w:spacing w:after="0"/>
              <w:rPr>
                <w:rFonts w:ascii="Roboto" w:hAnsi="Roboto"/>
              </w:rPr>
            </w:pPr>
            <w:r w:rsidRPr="007C6C48">
              <w:rPr>
                <w:rFonts w:ascii="Roboto" w:hAnsi="Roboto"/>
              </w:rPr>
              <w:t>S</w:t>
            </w:r>
            <w:r w:rsidRPr="007C6C48">
              <w:rPr>
                <w:rFonts w:ascii="Roboto" w:hAnsi="Roboto"/>
                <w:vertAlign w:val="superscript"/>
              </w:rPr>
              <w:t>6+</w:t>
            </w:r>
            <w:r w:rsidRPr="007C6C48">
              <w:rPr>
                <w:rFonts w:ascii="Roboto" w:hAnsi="Roboto"/>
              </w:rPr>
              <w:t>CAS</w:t>
            </w:r>
          </w:p>
        </w:tc>
        <w:tc>
          <w:tcPr>
            <w:tcW w:w="5855" w:type="dxa"/>
          </w:tcPr>
          <w:p w14:paraId="3309ECB4" w14:textId="60AAB917" w:rsidR="00563332" w:rsidRPr="007C6C48" w:rsidRDefault="00563332" w:rsidP="00563332">
            <w:pPr>
              <w:pStyle w:val="NoSpacing"/>
              <w:spacing w:after="0"/>
              <w:rPr>
                <w:rFonts w:ascii="Roboto" w:hAnsi="Roboto"/>
              </w:rPr>
            </w:pPr>
            <w:r w:rsidRPr="007C6C48">
              <w:rPr>
                <w:rFonts w:ascii="Roboto" w:hAnsi="Roboto"/>
                <w:color w:val="000000" w:themeColor="text1"/>
              </w:rPr>
              <w:t xml:space="preserve">Eq. (8) in </w:t>
            </w:r>
            <w:r w:rsidR="001D7C4F" w:rsidRPr="007C6C48">
              <w:rPr>
                <w:rFonts w:ascii="Roboto" w:hAnsi="Roboto"/>
              </w:rPr>
              <w:fldChar w:fldCharType="begin" w:fldLock="1"/>
            </w:r>
            <w:r w:rsidR="001D7C4F" w:rsidRPr="007C6C48">
              <w:rPr>
                <w:rFonts w:ascii="Roboto" w:hAnsi="Roboto"/>
              </w:rPr>
              <w:instrText>ADDIN CSL_CITATION {"citationItems":[{"id":"ITEM-1","itemData":{"DOI":"10.1016/J.CHEMGEO.2019.05.020","ISSN":"0009-2541","abstract":"To add to our understanding of sulfur cycle in subduction zones in general and constrain the effects of slab-released sulfate (SO42−) on the magma genesis and sulfur transport from sub-arc mantle to the arc volcanoes in particular we carried out an experimental study. High pressure-temperature, piston-cylinder experiments were carried out in Au-Pd capsules at 0.5–3</w:instrText>
            </w:r>
            <w:r w:rsidR="001D7C4F" w:rsidRPr="007C6C48">
              <w:rPr>
                <w:rFonts w:cs="Times New Roman"/>
              </w:rPr>
              <w:instrText> </w:instrText>
            </w:r>
            <w:r w:rsidR="001D7C4F" w:rsidRPr="007C6C48">
              <w:rPr>
                <w:rFonts w:ascii="Roboto" w:hAnsi="Roboto"/>
              </w:rPr>
              <w:instrText>GPa and 1050–1325</w:instrText>
            </w:r>
            <w:r w:rsidR="001D7C4F" w:rsidRPr="007C6C48">
              <w:rPr>
                <w:rFonts w:cs="Times New Roman"/>
              </w:rPr>
              <w:instrText> </w:instrText>
            </w:r>
            <w:r w:rsidR="001D7C4F" w:rsidRPr="007C6C48">
              <w:rPr>
                <w:rFonts w:ascii="Roboto" w:hAnsi="Roboto"/>
              </w:rPr>
              <w:instrText>°C to investigate (a) the effect of variable sulfur concentration from 0 to ~2</w:instrText>
            </w:r>
            <w:r w:rsidR="001D7C4F" w:rsidRPr="007C6C48">
              <w:rPr>
                <w:rFonts w:cs="Times New Roman"/>
              </w:rPr>
              <w:instrText> </w:instrText>
            </w:r>
            <w:r w:rsidR="001D7C4F" w:rsidRPr="007C6C48">
              <w:rPr>
                <w:rFonts w:ascii="Roboto" w:hAnsi="Roboto"/>
              </w:rPr>
              <w:instrText>wt%, dissolved as SO42− on the stability field of a primary arc basalt with ~4</w:instrText>
            </w:r>
            <w:r w:rsidR="001D7C4F" w:rsidRPr="007C6C48">
              <w:rPr>
                <w:rFonts w:cs="Times New Roman"/>
              </w:rPr>
              <w:instrText> </w:instrText>
            </w:r>
            <w:r w:rsidR="001D7C4F" w:rsidRPr="007C6C48">
              <w:rPr>
                <w:rFonts w:ascii="Roboto" w:hAnsi="Roboto"/>
              </w:rPr>
              <w:instrText>wt% H2O and determine (b) the sulfur content at anhydrite saturation (SCAS) of hydrous mafic magmas. Speciation of sulfur in the silicate melt was confirmed to be SO42− by S Kα X-ray peak position using electron microprobe. S-free hydrous clinopyroxene liquidus at 2</w:instrText>
            </w:r>
            <w:r w:rsidR="001D7C4F" w:rsidRPr="007C6C48">
              <w:rPr>
                <w:rFonts w:cs="Times New Roman"/>
              </w:rPr>
              <w:instrText> </w:instrText>
            </w:r>
            <w:r w:rsidR="001D7C4F" w:rsidRPr="007C6C48">
              <w:rPr>
                <w:rFonts w:ascii="Roboto" w:hAnsi="Roboto"/>
              </w:rPr>
              <w:instrText>GPa is ~25</w:instrText>
            </w:r>
            <w:r w:rsidR="001D7C4F" w:rsidRPr="007C6C48">
              <w:rPr>
                <w:rFonts w:cs="Times New Roman"/>
              </w:rPr>
              <w:instrText> </w:instrText>
            </w:r>
            <w:r w:rsidR="001D7C4F" w:rsidRPr="007C6C48">
              <w:rPr>
                <w:rFonts w:ascii="Roboto" w:hAnsi="Roboto"/>
              </w:rPr>
              <w:instrText>°C hotter than the hydrous clinopyroxene liquidus with ~0.1</w:instrText>
            </w:r>
            <w:r w:rsidR="001D7C4F" w:rsidRPr="007C6C48">
              <w:rPr>
                <w:rFonts w:cs="Times New Roman"/>
              </w:rPr>
              <w:instrText> </w:instrText>
            </w:r>
            <w:r w:rsidR="001D7C4F" w:rsidRPr="007C6C48">
              <w:rPr>
                <w:rFonts w:ascii="Roboto" w:hAnsi="Roboto"/>
              </w:rPr>
              <w:instrText>wt%</w:instrText>
            </w:r>
            <w:r w:rsidR="001D7C4F" w:rsidRPr="007C6C48">
              <w:rPr>
                <w:rFonts w:cs="Times New Roman"/>
              </w:rPr>
              <w:instrText> </w:instrText>
            </w:r>
            <w:r w:rsidR="001D7C4F" w:rsidRPr="007C6C48">
              <w:rPr>
                <w:rFonts w:ascii="Roboto" w:hAnsi="Roboto"/>
              </w:rPr>
              <w:instrText>S in the liquidus melt as SO42− and the liquidus depression with further S-enrichment to anhydrite saturation (~2</w:instrText>
            </w:r>
            <w:r w:rsidR="001D7C4F" w:rsidRPr="007C6C48">
              <w:rPr>
                <w:rFonts w:cs="Times New Roman"/>
              </w:rPr>
              <w:instrText> </w:instrText>
            </w:r>
            <w:r w:rsidR="001D7C4F" w:rsidRPr="007C6C48">
              <w:rPr>
                <w:rFonts w:ascii="Roboto" w:hAnsi="Roboto"/>
              </w:rPr>
              <w:instrText>wt%</w:instrText>
            </w:r>
            <w:r w:rsidR="001D7C4F" w:rsidRPr="007C6C48">
              <w:rPr>
                <w:rFonts w:cs="Times New Roman"/>
              </w:rPr>
              <w:instrText> </w:instrText>
            </w:r>
            <w:r w:rsidR="001D7C4F" w:rsidRPr="007C6C48">
              <w:rPr>
                <w:rFonts w:ascii="Roboto" w:hAnsi="Roboto"/>
              </w:rPr>
              <w:instrText>S) can be fitted by a power function ΔT (°C)</w:instrText>
            </w:r>
            <w:r w:rsidR="001D7C4F" w:rsidRPr="007C6C48">
              <w:rPr>
                <w:rFonts w:cs="Times New Roman"/>
              </w:rPr>
              <w:instrText> </w:instrText>
            </w:r>
            <w:r w:rsidR="001D7C4F" w:rsidRPr="007C6C48">
              <w:rPr>
                <w:rFonts w:ascii="Roboto" w:hAnsi="Roboto"/>
              </w:rPr>
              <w:instrText>=</w:instrText>
            </w:r>
            <w:r w:rsidR="001D7C4F" w:rsidRPr="007C6C48">
              <w:rPr>
                <w:rFonts w:cs="Times New Roman"/>
              </w:rPr>
              <w:instrText> </w:instrText>
            </w:r>
            <w:r w:rsidR="001D7C4F" w:rsidRPr="007C6C48">
              <w:rPr>
                <w:rFonts w:ascii="Roboto" w:hAnsi="Roboto"/>
              </w:rPr>
              <w:instrText>26.52(±3.48)(Smelt in wt%)0.24(±0.06). Anhydrite-saturated experiments show that SCAS increases with increasing temperature and CaO content of melt and decreases with increasing SiO2 content of the melt. Previous SCAS models based mostly on lower P-T experiments and/or on silicic melt compositions can't capture our new experimental SCAS data. A new SCAS parameterization was developed using previous and our new experimental data. Calculations using our new parameterization and assuming 200–500</w:instrText>
            </w:r>
            <w:r w:rsidR="001D7C4F" w:rsidRPr="007C6C48">
              <w:rPr>
                <w:rFonts w:cs="Times New Roman"/>
              </w:rPr>
              <w:instrText> </w:instrText>
            </w:r>
            <w:r w:rsidR="001D7C4F" w:rsidRPr="007C6C48">
              <w:rPr>
                <w:rFonts w:ascii="Roboto" w:hAnsi="Roboto"/>
              </w:rPr>
              <w:instrText>ppm</w:instrText>
            </w:r>
            <w:r w:rsidR="001D7C4F" w:rsidRPr="007C6C48">
              <w:rPr>
                <w:rFonts w:cs="Times New Roman"/>
              </w:rPr>
              <w:instrText> </w:instrText>
            </w:r>
            <w:r w:rsidR="001D7C4F" w:rsidRPr="007C6C48">
              <w:rPr>
                <w:rFonts w:ascii="Roboto" w:hAnsi="Roboto"/>
              </w:rPr>
              <w:instrText>S in the arc mantle show that &lt;10% hydrous melting of mantle wedge would exhaust anhydrite, if present. Therefore, anhydrite even if present is expected to be exhausted by partial melting in the mantle wedge and parental basaltic melt will extract similar amount of S via mantle melting irrespective of the presence of sulfide or sulfate at subsolidus conditions. The S content, as dissolved SO42−, of hydrous arc basalts produced by 10–30% melting will be 500–4000</w:instrText>
            </w:r>
            <w:r w:rsidR="001D7C4F" w:rsidRPr="007C6C48">
              <w:rPr>
                <w:rFonts w:cs="Times New Roman"/>
              </w:rPr>
              <w:instrText> </w:instrText>
            </w:r>
            <w:r w:rsidR="001D7C4F" w:rsidRPr="007C6C48">
              <w:rPr>
                <w:rFonts w:ascii="Roboto" w:hAnsi="Roboto"/>
              </w:rPr>
              <w:instrText>ppm, which is comparable to the melt inclusion S contents from various arcs. The sulfate undersaturated basalts may assimilate crustal sulfate and lead to high observed SO2 flux at the arcs, known as the “excess S”.","author":[{"dropping-particle":"","family":"Chowdhury","given":"Proteek","non-dropping-particle":"","parse-names":false,"suffix":""},{"dropping-particle":"","family":"Dasgupta","given":"Rajdeep","non-dropping-particle":"","parse-names":false,"suffix":""}],"container-title":"Chemical Geology","id":"ITEM-1","issued":{"date-parts":[["2019","9","20"]]},"page":"162-174","publisher":"Elsevier","title":"Effect of sulfate on the basaltic liquidus and Sulfur Concentration at Anhydrite Saturation (SCAS) of hydrous basalts – Implications for sulfur cycle in subduction zones","type":"article-journal","volume":"522"},"uris":["http://www.mendeley.com/documents/?uuid=199350fe-e46d-303a-b80f-f6d7a3be9e4c"]}],"mendeley":{"formattedCitation":"(Chowdhury and Dasgupta, 2019)","manualFormatting":"Chowdhury and Dasgupta (2019)","plainTextFormattedCitation":"(Chowdhury and Dasgupta, 2019)","previouslyFormattedCitation":"(Chowdhury and Dasgupta, 2019)"},"properties":{"noteIndex":0},"schema":"https://github.com/citation-style-language/schema/raw/master/csl-citation.json"}</w:instrText>
            </w:r>
            <w:r w:rsidR="001D7C4F" w:rsidRPr="007C6C48">
              <w:rPr>
                <w:rFonts w:ascii="Roboto" w:hAnsi="Roboto"/>
              </w:rPr>
              <w:fldChar w:fldCharType="separate"/>
            </w:r>
            <w:r w:rsidR="001D7C4F" w:rsidRPr="007C6C48">
              <w:rPr>
                <w:rFonts w:ascii="Roboto" w:hAnsi="Roboto"/>
                <w:noProof/>
              </w:rPr>
              <w:t>Chowdhury and Dasgupta (2019)</w:t>
            </w:r>
            <w:r w:rsidR="001D7C4F" w:rsidRPr="007C6C48">
              <w:rPr>
                <w:rFonts w:ascii="Roboto" w:hAnsi="Roboto"/>
              </w:rPr>
              <w:fldChar w:fldCharType="end"/>
            </w:r>
            <w:r w:rsidR="00085EAF" w:rsidRPr="007C6C48">
              <w:rPr>
                <w:rFonts w:ascii="Roboto" w:hAnsi="Roboto"/>
              </w:rPr>
              <w:t xml:space="preserve"> using PySulfSat (</w:t>
            </w:r>
            <w:r w:rsidR="00B45276" w:rsidRPr="007C6C48">
              <w:rPr>
                <w:rFonts w:ascii="Roboto" w:hAnsi="Roboto"/>
              </w:rPr>
              <w:t>Wieser et al., 2023</w:t>
            </w:r>
            <w:r w:rsidR="00085EAF" w:rsidRPr="007C6C48">
              <w:rPr>
                <w:rFonts w:ascii="Roboto" w:hAnsi="Roboto"/>
              </w:rPr>
              <w:t>)</w:t>
            </w:r>
          </w:p>
        </w:tc>
      </w:tr>
      <w:tr w:rsidR="00563332" w:rsidRPr="007C6C48" w14:paraId="15C9724C" w14:textId="77777777" w:rsidTr="00B061FC">
        <w:tc>
          <w:tcPr>
            <w:tcW w:w="3161" w:type="dxa"/>
          </w:tcPr>
          <w:p w14:paraId="579B8D82" w14:textId="77777777" w:rsidR="00563332" w:rsidRPr="007C6C48" w:rsidRDefault="00563332" w:rsidP="00563332">
            <w:pPr>
              <w:pStyle w:val="NoSpacing"/>
              <w:spacing w:after="0"/>
              <w:rPr>
                <w:rFonts w:ascii="Roboto" w:hAnsi="Roboto"/>
              </w:rPr>
            </w:pPr>
            <w:r w:rsidRPr="007C6C48">
              <w:rPr>
                <w:rFonts w:ascii="Roboto" w:hAnsi="Roboto"/>
              </w:rPr>
              <w:lastRenderedPageBreak/>
              <w:t>Graphite equilibrium constant</w:t>
            </w:r>
          </w:p>
        </w:tc>
        <w:tc>
          <w:tcPr>
            <w:tcW w:w="5855" w:type="dxa"/>
          </w:tcPr>
          <w:p w14:paraId="05908EF8" w14:textId="33E30E27" w:rsidR="00563332" w:rsidRPr="007C6C48" w:rsidRDefault="00563332" w:rsidP="00563332">
            <w:pPr>
              <w:pStyle w:val="NoSpacing"/>
              <w:spacing w:after="0"/>
              <w:rPr>
                <w:rFonts w:ascii="Roboto" w:hAnsi="Roboto"/>
              </w:rPr>
            </w:pPr>
            <w:r w:rsidRPr="007C6C48">
              <w:rPr>
                <w:rFonts w:ascii="Roboto" w:hAnsi="Roboto"/>
                <w:color w:val="000000" w:themeColor="text1"/>
              </w:rPr>
              <w:t xml:space="preserve">Eq. (3) </w:t>
            </w:r>
            <w:r w:rsidR="004D29E4" w:rsidRPr="007C6C48">
              <w:rPr>
                <w:rFonts w:ascii="Roboto" w:hAnsi="Roboto"/>
                <w:color w:val="000000" w:themeColor="text1"/>
              </w:rPr>
              <w:t xml:space="preserve">in </w:t>
            </w:r>
            <w:r w:rsidR="001D7C4F" w:rsidRPr="007C6C48">
              <w:rPr>
                <w:rFonts w:ascii="Roboto" w:hAnsi="Roboto"/>
              </w:rPr>
              <w:fldChar w:fldCharType="begin" w:fldLock="1"/>
            </w:r>
            <w:r w:rsidR="001D7C4F" w:rsidRPr="007C6C48">
              <w:rPr>
                <w:rFonts w:ascii="Roboto" w:hAnsi="Roboto"/>
              </w:rPr>
              <w:instrText>ADDIN CSL_CITATION {"citationItems":[{"id":"ITEM-1","itemData":{"author":[{"dropping-particle":"","family":"Holloway","given":"John R.","non-dropping-particle":"","parse-names":false,"suffix":""},{"dropping-particle":"","family":"Pan","given":"Vivian","non-dropping-particle":"","parse-names":false,"suffix":""},{"dropping-particle":"","family":"Gudmundsson","given":"G.B.","non-dropping-particle":"","parse-names":false,"suffix":""}],"container-title":"European Journal of Mineralogy","id":"ITEM-1","issued":{"date-parts":[["1992"]]},"page":"105-114","title":"High-pressure fluid-absent melting experiments in the presence of graphite: oxygen fugacity, ferric/ferrous ratio and dissolved CO2","type":"article-journal","volume":"4"},"uris":["http://www.mendeley.com/documents/?uuid=dab51ad3-ea41-4633-b5e8-346ab0bef32b"]}],"mendeley":{"formattedCitation":"(Holloway et al., 1992)","manualFormatting":"Holloway et al. (1992)","plainTextFormattedCitation":"(Holloway et al., 1992)","previouslyFormattedCitation":"(Holloway et al., 1992)"},"properties":{"noteIndex":0},"schema":"https://github.com/citation-style-language/schema/raw/master/csl-citation.json"}</w:instrText>
            </w:r>
            <w:r w:rsidR="001D7C4F" w:rsidRPr="007C6C48">
              <w:rPr>
                <w:rFonts w:ascii="Roboto" w:hAnsi="Roboto"/>
              </w:rPr>
              <w:fldChar w:fldCharType="separate"/>
            </w:r>
            <w:r w:rsidR="001D7C4F" w:rsidRPr="007C6C48">
              <w:rPr>
                <w:rFonts w:ascii="Roboto" w:hAnsi="Roboto"/>
                <w:noProof/>
              </w:rPr>
              <w:t>Holloway et al. (1992)</w:t>
            </w:r>
            <w:r w:rsidR="001D7C4F" w:rsidRPr="007C6C48">
              <w:rPr>
                <w:rFonts w:ascii="Roboto" w:hAnsi="Roboto"/>
              </w:rPr>
              <w:fldChar w:fldCharType="end"/>
            </w:r>
          </w:p>
        </w:tc>
      </w:tr>
    </w:tbl>
    <w:p w14:paraId="6C940C5D" w14:textId="7D2F9BF1" w:rsidR="0094248A" w:rsidRPr="007C6C48" w:rsidRDefault="0016716F" w:rsidP="0016716F">
      <w:pPr>
        <w:pStyle w:val="NoSpacing"/>
        <w:rPr>
          <w:rFonts w:ascii="Roboto" w:hAnsi="Roboto"/>
          <w:sz w:val="20"/>
          <w:szCs w:val="20"/>
        </w:rPr>
      </w:pPr>
      <w:r w:rsidRPr="007C6C48">
        <w:rPr>
          <w:rFonts w:ascii="Roboto" w:hAnsi="Roboto"/>
          <w:i/>
          <w:iCs/>
          <w:sz w:val="20"/>
          <w:szCs w:val="20"/>
        </w:rPr>
        <w:t>Notes:</w:t>
      </w:r>
      <w:r w:rsidRPr="007C6C48">
        <w:rPr>
          <w:rFonts w:ascii="Roboto" w:hAnsi="Roboto"/>
          <w:sz w:val="20"/>
          <w:szCs w:val="20"/>
        </w:rPr>
        <w:t xml:space="preserve"> Melt species considered were H</w:t>
      </w:r>
      <w:r w:rsidRPr="007C6C48">
        <w:rPr>
          <w:rFonts w:ascii="Roboto" w:hAnsi="Roboto"/>
          <w:sz w:val="20"/>
          <w:szCs w:val="20"/>
          <w:vertAlign w:val="subscript"/>
        </w:rPr>
        <w:t>2</w:t>
      </w:r>
      <w:r w:rsidRPr="007C6C48">
        <w:rPr>
          <w:rFonts w:ascii="Roboto" w:hAnsi="Roboto"/>
          <w:sz w:val="20"/>
          <w:szCs w:val="20"/>
        </w:rPr>
        <w:t>O</w:t>
      </w:r>
      <w:r w:rsidRPr="007C6C48">
        <w:rPr>
          <w:rFonts w:ascii="Roboto" w:hAnsi="Roboto"/>
          <w:sz w:val="20"/>
          <w:szCs w:val="20"/>
          <w:vertAlign w:val="subscript"/>
        </w:rPr>
        <w:t>T</w:t>
      </w:r>
      <w:r w:rsidRPr="007C6C48">
        <w:rPr>
          <w:rFonts w:ascii="Roboto" w:hAnsi="Roboto"/>
          <w:sz w:val="20"/>
          <w:szCs w:val="20"/>
        </w:rPr>
        <w:t>, OH</w:t>
      </w:r>
      <w:r w:rsidRPr="007C6C48">
        <w:rPr>
          <w:rFonts w:ascii="Roboto" w:hAnsi="Roboto"/>
          <w:sz w:val="20"/>
          <w:szCs w:val="20"/>
          <w:vertAlign w:val="superscript"/>
        </w:rPr>
        <w:t>-</w:t>
      </w:r>
      <w:r w:rsidRPr="007C6C48">
        <w:rPr>
          <w:rFonts w:ascii="Roboto" w:hAnsi="Roboto"/>
          <w:sz w:val="20"/>
          <w:szCs w:val="20"/>
        </w:rPr>
        <w:t xml:space="preserve">, </w:t>
      </w:r>
      <w:proofErr w:type="gramStart"/>
      <w:r w:rsidRPr="007C6C48">
        <w:rPr>
          <w:rFonts w:ascii="Roboto" w:hAnsi="Roboto"/>
          <w:sz w:val="20"/>
          <w:szCs w:val="20"/>
        </w:rPr>
        <w:t>CO</w:t>
      </w:r>
      <w:r w:rsidRPr="007C6C48">
        <w:rPr>
          <w:rFonts w:ascii="Roboto" w:hAnsi="Roboto"/>
          <w:sz w:val="20"/>
          <w:szCs w:val="20"/>
          <w:vertAlign w:val="subscript"/>
        </w:rPr>
        <w:t>2,mol</w:t>
      </w:r>
      <w:proofErr w:type="gramEnd"/>
      <w:r w:rsidRPr="007C6C48">
        <w:rPr>
          <w:rFonts w:ascii="Roboto" w:hAnsi="Roboto"/>
          <w:sz w:val="20"/>
          <w:szCs w:val="20"/>
        </w:rPr>
        <w:t>, CO</w:t>
      </w:r>
      <w:r w:rsidRPr="007C6C48">
        <w:rPr>
          <w:rFonts w:ascii="Roboto" w:hAnsi="Roboto"/>
          <w:sz w:val="20"/>
          <w:szCs w:val="20"/>
          <w:vertAlign w:val="subscript"/>
        </w:rPr>
        <w:t>3</w:t>
      </w:r>
      <w:r w:rsidRPr="007C6C48">
        <w:rPr>
          <w:rFonts w:ascii="Roboto" w:hAnsi="Roboto"/>
          <w:sz w:val="20"/>
          <w:szCs w:val="20"/>
          <w:vertAlign w:val="superscript"/>
        </w:rPr>
        <w:t>2-</w:t>
      </w:r>
      <w:r w:rsidRPr="007C6C48">
        <w:rPr>
          <w:rFonts w:ascii="Roboto" w:hAnsi="Roboto"/>
          <w:sz w:val="20"/>
          <w:szCs w:val="20"/>
        </w:rPr>
        <w:t>, H</w:t>
      </w:r>
      <w:proofErr w:type="gramStart"/>
      <w:r w:rsidRPr="007C6C48">
        <w:rPr>
          <w:rFonts w:ascii="Roboto" w:hAnsi="Roboto"/>
          <w:sz w:val="20"/>
          <w:szCs w:val="20"/>
          <w:vertAlign w:val="subscript"/>
        </w:rPr>
        <w:t>2,mol</w:t>
      </w:r>
      <w:proofErr w:type="gramEnd"/>
      <w:r w:rsidRPr="007C6C48">
        <w:rPr>
          <w:rFonts w:ascii="Roboto" w:hAnsi="Roboto"/>
          <w:sz w:val="20"/>
          <w:szCs w:val="20"/>
        </w:rPr>
        <w:t>, CO</w:t>
      </w:r>
      <w:r w:rsidRPr="007C6C48">
        <w:rPr>
          <w:rFonts w:ascii="Roboto" w:hAnsi="Roboto"/>
          <w:sz w:val="20"/>
          <w:szCs w:val="20"/>
          <w:vertAlign w:val="subscript"/>
        </w:rPr>
        <w:t>mol</w:t>
      </w:r>
      <w:r w:rsidRPr="007C6C48">
        <w:rPr>
          <w:rFonts w:ascii="Roboto" w:hAnsi="Roboto"/>
          <w:sz w:val="20"/>
          <w:szCs w:val="20"/>
        </w:rPr>
        <w:t>, CH</w:t>
      </w:r>
      <w:proofErr w:type="gramStart"/>
      <w:r w:rsidRPr="007C6C48">
        <w:rPr>
          <w:rFonts w:ascii="Roboto" w:hAnsi="Roboto"/>
          <w:sz w:val="20"/>
          <w:szCs w:val="20"/>
          <w:vertAlign w:val="subscript"/>
        </w:rPr>
        <w:t>4,mol</w:t>
      </w:r>
      <w:proofErr w:type="gramEnd"/>
      <w:r w:rsidRPr="007C6C48">
        <w:rPr>
          <w:rFonts w:ascii="Roboto" w:hAnsi="Roboto"/>
          <w:sz w:val="20"/>
          <w:szCs w:val="20"/>
        </w:rPr>
        <w:t>, *S</w:t>
      </w:r>
      <w:r w:rsidRPr="007C6C48">
        <w:rPr>
          <w:rFonts w:ascii="Roboto" w:hAnsi="Roboto"/>
          <w:sz w:val="20"/>
          <w:szCs w:val="20"/>
          <w:vertAlign w:val="superscript"/>
        </w:rPr>
        <w:t>2-</w:t>
      </w:r>
      <w:r w:rsidRPr="007C6C48">
        <w:rPr>
          <w:rFonts w:ascii="Roboto" w:hAnsi="Roboto"/>
          <w:sz w:val="20"/>
          <w:szCs w:val="20"/>
        </w:rPr>
        <w:t>, SO</w:t>
      </w:r>
      <w:r w:rsidRPr="007C6C48">
        <w:rPr>
          <w:rFonts w:ascii="Roboto" w:hAnsi="Roboto"/>
          <w:sz w:val="20"/>
          <w:szCs w:val="20"/>
          <w:vertAlign w:val="subscript"/>
        </w:rPr>
        <w:t>4</w:t>
      </w:r>
      <w:r w:rsidRPr="007C6C48">
        <w:rPr>
          <w:rFonts w:ascii="Roboto" w:hAnsi="Roboto"/>
          <w:sz w:val="20"/>
          <w:szCs w:val="20"/>
          <w:vertAlign w:val="superscript"/>
        </w:rPr>
        <w:t>2-</w:t>
      </w:r>
      <w:r w:rsidRPr="007C6C48">
        <w:rPr>
          <w:rFonts w:ascii="Roboto" w:hAnsi="Roboto"/>
          <w:sz w:val="20"/>
          <w:szCs w:val="20"/>
        </w:rPr>
        <w:t>, and H</w:t>
      </w:r>
      <w:r w:rsidRPr="007C6C48">
        <w:rPr>
          <w:rFonts w:ascii="Roboto" w:hAnsi="Roboto"/>
          <w:sz w:val="20"/>
          <w:szCs w:val="20"/>
          <w:vertAlign w:val="subscript"/>
        </w:rPr>
        <w:t>2</w:t>
      </w:r>
      <w:r w:rsidRPr="007C6C48">
        <w:rPr>
          <w:rFonts w:ascii="Roboto" w:hAnsi="Roboto"/>
          <w:sz w:val="20"/>
          <w:szCs w:val="20"/>
        </w:rPr>
        <w:t>S</w:t>
      </w:r>
      <w:r w:rsidRPr="007C6C48">
        <w:rPr>
          <w:rFonts w:ascii="Roboto" w:hAnsi="Roboto"/>
          <w:sz w:val="20"/>
          <w:szCs w:val="20"/>
          <w:vertAlign w:val="subscript"/>
        </w:rPr>
        <w:t>mol</w:t>
      </w:r>
      <w:r w:rsidRPr="007C6C48">
        <w:rPr>
          <w:rFonts w:ascii="Roboto" w:hAnsi="Roboto"/>
          <w:sz w:val="20"/>
          <w:szCs w:val="20"/>
        </w:rPr>
        <w:t>; vapor species considered were O</w:t>
      </w:r>
      <w:r w:rsidRPr="007C6C48">
        <w:rPr>
          <w:rFonts w:ascii="Roboto" w:hAnsi="Roboto"/>
          <w:sz w:val="20"/>
          <w:szCs w:val="20"/>
          <w:vertAlign w:val="subscript"/>
        </w:rPr>
        <w:t>2</w:t>
      </w:r>
      <w:r w:rsidRPr="007C6C48">
        <w:rPr>
          <w:rFonts w:ascii="Roboto" w:hAnsi="Roboto"/>
          <w:sz w:val="20"/>
          <w:szCs w:val="20"/>
        </w:rPr>
        <w:t>, CO, H</w:t>
      </w:r>
      <w:r w:rsidRPr="007C6C48">
        <w:rPr>
          <w:rFonts w:ascii="Roboto" w:hAnsi="Roboto"/>
          <w:sz w:val="20"/>
          <w:szCs w:val="20"/>
          <w:vertAlign w:val="subscript"/>
        </w:rPr>
        <w:t>2</w:t>
      </w:r>
      <w:r w:rsidRPr="007C6C48">
        <w:rPr>
          <w:rFonts w:ascii="Roboto" w:hAnsi="Roboto"/>
          <w:sz w:val="20"/>
          <w:szCs w:val="20"/>
        </w:rPr>
        <w:t>, S</w:t>
      </w:r>
      <w:r w:rsidRPr="007C6C48">
        <w:rPr>
          <w:rFonts w:ascii="Roboto" w:hAnsi="Roboto"/>
          <w:sz w:val="20"/>
          <w:szCs w:val="20"/>
          <w:vertAlign w:val="subscript"/>
        </w:rPr>
        <w:t>2</w:t>
      </w:r>
      <w:r w:rsidRPr="007C6C48">
        <w:rPr>
          <w:rFonts w:ascii="Roboto" w:hAnsi="Roboto"/>
          <w:sz w:val="20"/>
          <w:szCs w:val="20"/>
        </w:rPr>
        <w:t>, CO</w:t>
      </w:r>
      <w:r w:rsidRPr="007C6C48">
        <w:rPr>
          <w:rFonts w:ascii="Roboto" w:hAnsi="Roboto"/>
          <w:sz w:val="20"/>
          <w:szCs w:val="20"/>
          <w:vertAlign w:val="subscript"/>
        </w:rPr>
        <w:t>2</w:t>
      </w:r>
      <w:r w:rsidRPr="007C6C48">
        <w:rPr>
          <w:rFonts w:ascii="Roboto" w:hAnsi="Roboto"/>
          <w:sz w:val="20"/>
          <w:szCs w:val="20"/>
        </w:rPr>
        <w:t>, H</w:t>
      </w:r>
      <w:r w:rsidRPr="007C6C48">
        <w:rPr>
          <w:rFonts w:ascii="Roboto" w:hAnsi="Roboto"/>
          <w:sz w:val="20"/>
          <w:szCs w:val="20"/>
          <w:vertAlign w:val="subscript"/>
        </w:rPr>
        <w:t>2</w:t>
      </w:r>
      <w:r w:rsidRPr="007C6C48">
        <w:rPr>
          <w:rFonts w:ascii="Roboto" w:hAnsi="Roboto"/>
          <w:sz w:val="20"/>
          <w:szCs w:val="20"/>
        </w:rPr>
        <w:t>O, SO</w:t>
      </w:r>
      <w:r w:rsidRPr="007C6C48">
        <w:rPr>
          <w:rFonts w:ascii="Roboto" w:hAnsi="Roboto"/>
          <w:sz w:val="20"/>
          <w:szCs w:val="20"/>
          <w:vertAlign w:val="subscript"/>
        </w:rPr>
        <w:t>2</w:t>
      </w:r>
      <w:r w:rsidRPr="007C6C48">
        <w:rPr>
          <w:rFonts w:ascii="Roboto" w:hAnsi="Roboto"/>
          <w:sz w:val="20"/>
          <w:szCs w:val="20"/>
        </w:rPr>
        <w:t>, CH</w:t>
      </w:r>
      <w:r w:rsidRPr="007C6C48">
        <w:rPr>
          <w:rFonts w:ascii="Roboto" w:hAnsi="Roboto"/>
          <w:sz w:val="20"/>
          <w:szCs w:val="20"/>
          <w:vertAlign w:val="subscript"/>
        </w:rPr>
        <w:t>4</w:t>
      </w:r>
      <w:r w:rsidRPr="007C6C48">
        <w:rPr>
          <w:rFonts w:ascii="Roboto" w:hAnsi="Roboto"/>
          <w:sz w:val="20"/>
          <w:szCs w:val="20"/>
        </w:rPr>
        <w:t>, H</w:t>
      </w:r>
      <w:r w:rsidRPr="007C6C48">
        <w:rPr>
          <w:rFonts w:ascii="Roboto" w:hAnsi="Roboto"/>
          <w:sz w:val="20"/>
          <w:szCs w:val="20"/>
          <w:vertAlign w:val="subscript"/>
        </w:rPr>
        <w:t>2</w:t>
      </w:r>
      <w:r w:rsidRPr="007C6C48">
        <w:rPr>
          <w:rFonts w:ascii="Roboto" w:hAnsi="Roboto"/>
          <w:sz w:val="20"/>
          <w:szCs w:val="20"/>
        </w:rPr>
        <w:t>S, and OCS.</w:t>
      </w:r>
    </w:p>
    <w:p w14:paraId="267E6377" w14:textId="6EDBA5ED" w:rsidR="0016716F" w:rsidRPr="007C6C48" w:rsidRDefault="0016716F" w:rsidP="0016716F">
      <w:pPr>
        <w:pStyle w:val="NoSpacing"/>
        <w:rPr>
          <w:rFonts w:ascii="Roboto" w:hAnsi="Roboto"/>
          <w:sz w:val="20"/>
          <w:szCs w:val="20"/>
        </w:rPr>
      </w:pPr>
    </w:p>
    <w:p w14:paraId="7B795FCB" w14:textId="14E55A03" w:rsidR="0016716F" w:rsidRPr="007C6C48" w:rsidRDefault="0016716F" w:rsidP="0016716F">
      <w:pPr>
        <w:pStyle w:val="Heading1"/>
        <w:rPr>
          <w:rFonts w:ascii="Roboto" w:hAnsi="Roboto"/>
        </w:rPr>
      </w:pPr>
      <w:r w:rsidRPr="007C6C48">
        <w:rPr>
          <w:rFonts w:ascii="Roboto" w:hAnsi="Roboto"/>
        </w:rPr>
        <w:t>References</w:t>
      </w:r>
    </w:p>
    <w:p w14:paraId="2A1952AD" w14:textId="35464282"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rPr>
        <w:fldChar w:fldCharType="begin" w:fldLock="1"/>
      </w:r>
      <w:r w:rsidRPr="007C6C48">
        <w:rPr>
          <w:rFonts w:ascii="Roboto" w:hAnsi="Roboto"/>
        </w:rPr>
        <w:instrText xml:space="preserve">ADDIN Mendeley Bibliography CSL_BIBLIOGRAPHY </w:instrText>
      </w:r>
      <w:r w:rsidRPr="007C6C48">
        <w:rPr>
          <w:rFonts w:ascii="Roboto" w:hAnsi="Roboto"/>
        </w:rPr>
        <w:fldChar w:fldCharType="separate"/>
      </w:r>
      <w:r w:rsidRPr="007C6C48">
        <w:rPr>
          <w:rFonts w:ascii="Roboto" w:hAnsi="Roboto"/>
          <w:noProof/>
        </w:rPr>
        <w:t>Allison, C.M., Roggensack, K., Clarke, A.B., 2022. MafiCH: a general model for H2O–CO2 solubility in mafic magmas. Contrib. to Mineral. Petrol. 177, 1–22. https://doi.org/10.1007/S00410-022-01903-Y/FIGURES/10</w:t>
      </w:r>
    </w:p>
    <w:p w14:paraId="28856E99"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Allison, C.M., Roggensack, K., Clarke, A.B., 2019. H2O–CO2 solubility in alkali-rich mafic magmas: new experiments at mid-crustal pressures. Contrib. to Mineral. Petrol. 174, 58. https://doi.org/10.1007/s00410-019-1592-4</w:t>
      </w:r>
    </w:p>
    <w:p w14:paraId="21F09C74"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Armstrong, L.S., Hirschmann, M.M., Stanley, B.D., Falksen, E.G., Jacobsen, S.D., 2015. Speciation and solubility of reduced C-O-H-N volatiles in mafic melt: Implications for volcanism, atmospheric evolution, and deep volatile cycles in the terrestrial planets. Geochim. Cosmochim. Acta 171, 283–302. https://doi.org/10.1016/j.gca.2015.07.007</w:t>
      </w:r>
    </w:p>
    <w:p w14:paraId="26AEE2D0"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Behrens, H., Ohlhorst, S., Holtz, F., Champenois, M., 2004. CO2 solubility in dacitic melts equilibrated with H2O-CO2 fluids: Implications for modeling the solubility of CO2 in silicic melts. Geochim. Cosmochim. Acta 68, 4687–4703. https://doi.org/10.1016/J.GCA.2004.04.019</w:t>
      </w:r>
    </w:p>
    <w:p w14:paraId="1E4002C8"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Blank, J.G., 1993. An experimental investigation of the behaviour of carbon dioxide in rhyolitic melt. California Institute of Technology.</w:t>
      </w:r>
    </w:p>
    <w:p w14:paraId="18B7757F"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Blank, J.G., Delaney, J.R., Marais, D.J.D., 1993a. The concentration and isotopic composition of carbon in basaltic glasses from the Juan de Fuca Ridge, Pacific Ocean. Geochim. Cosmochim. Acta 57, 875–887. https://doi.org/10.1016/0016-7037(93)90175-V</w:t>
      </w:r>
    </w:p>
    <w:p w14:paraId="51233D83"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Blank, J.G., Stolper, E.M., Carroll, M.R., 1993b. Solubilities of carbon dioxide and water in rhyolitic melt at 850°C and 750 bars. Earth Planet. Sci. Lett. 119, 27–36. https://doi.org/10.1016/0012-821X(93)90004-S</w:t>
      </w:r>
    </w:p>
    <w:p w14:paraId="4FFBA328"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Borisov, A., Behrens, H., Holtz, F., 2018. Ferric/ferrous ratio in silicate melts: a new model for 1 atm data with special emphasis on the effects of melt composition. Contrib. to Mineral. Petrol. 173, 1–15. https://doi.org/10.1007/S00410-018-1524-8/FIGURES/10</w:t>
      </w:r>
    </w:p>
    <w:p w14:paraId="03AF03D6"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Botcharnikov, R.E., Behrens, H., Holtz, F., 2006. Solubility and speciation of C–O–H fluids in andesitic melt at T = 1100–1300 °C and P = 200 and 500 MPa. Chem. Geol. 229, 125–143. https://doi.org/10.1016/J.CHEMGEO.2006.01.016</w:t>
      </w:r>
    </w:p>
    <w:p w14:paraId="6C32D519"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Boulliung, J., Wood, B.J., 2023a. Sulfur oxidation state and solubility in silicate melts. Contrib. to Mineral. Petrol. 178, 1–15. https://doi.org/10.1007/S00410-023-02033-9/FIGURES/9</w:t>
      </w:r>
    </w:p>
    <w:p w14:paraId="75260E4C"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Boulliung, J., Wood, B.J., 2023b. Corrigendum to “SO2 solubility and degassing behavior in silicate melts” [Geochim. Cosmochim. Acta 336 (2022) 150–164]. Geochim. Cosmochim. Acta 343, 420. https://doi.org/10.1016/J.GCA.2022.11.025</w:t>
      </w:r>
    </w:p>
    <w:p w14:paraId="4FFF814E"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Boulliung, J., Wood, B.J., 2022. SO2 solubility and degassing behavior in silicate melts. Geochim. Cosmochim. Acta Vol. , 1 Novemb. 2022, Pages 150-164 336, 150–164. https://doi.org/10.1016/j.gca.2022.08.032</w:t>
      </w:r>
    </w:p>
    <w:p w14:paraId="28CDAC0C" w14:textId="355DC556" w:rsidR="00B45276" w:rsidRPr="007C6C48" w:rsidRDefault="00B45276" w:rsidP="0016716F">
      <w:pPr>
        <w:widowControl w:val="0"/>
        <w:autoSpaceDE w:val="0"/>
        <w:autoSpaceDN w:val="0"/>
        <w:adjustRightInd w:val="0"/>
        <w:ind w:left="480" w:hanging="480"/>
        <w:rPr>
          <w:rFonts w:ascii="Roboto" w:hAnsi="Roboto"/>
          <w:noProof/>
        </w:rPr>
      </w:pPr>
      <w:r w:rsidRPr="007C6C48">
        <w:rPr>
          <w:rFonts w:ascii="Roboto" w:hAnsi="Roboto"/>
          <w:noProof/>
        </w:rPr>
        <w:lastRenderedPageBreak/>
        <w:t>Brounce, M.N., Kelley, K.A. and Cottrell, E., 2014. Variations in Fe3+/∑ Fe of Mariana Arc basalts and mantle wedge f O2. </w:t>
      </w:r>
      <w:r w:rsidRPr="007C6C48">
        <w:rPr>
          <w:rFonts w:ascii="Roboto" w:hAnsi="Roboto"/>
          <w:i/>
          <w:iCs/>
          <w:noProof/>
        </w:rPr>
        <w:t>Journal of Petrology</w:t>
      </w:r>
      <w:r w:rsidRPr="007C6C48">
        <w:rPr>
          <w:rFonts w:ascii="Roboto" w:hAnsi="Roboto"/>
          <w:noProof/>
        </w:rPr>
        <w:t>, </w:t>
      </w:r>
      <w:r w:rsidRPr="007C6C48">
        <w:rPr>
          <w:rFonts w:ascii="Roboto" w:hAnsi="Roboto"/>
          <w:i/>
          <w:iCs/>
          <w:noProof/>
        </w:rPr>
        <w:t>55</w:t>
      </w:r>
      <w:r w:rsidRPr="007C6C48">
        <w:rPr>
          <w:rFonts w:ascii="Roboto" w:hAnsi="Roboto"/>
          <w:noProof/>
        </w:rPr>
        <w:t>(12), pp.2513-2536. https://doi.org/10.1093/petrology/egu065</w:t>
      </w:r>
    </w:p>
    <w:p w14:paraId="18106561" w14:textId="2DDD95EF" w:rsidR="0016716F" w:rsidRPr="007C6C48" w:rsidRDefault="0016716F" w:rsidP="0016716F">
      <w:pPr>
        <w:widowControl w:val="0"/>
        <w:autoSpaceDE w:val="0"/>
        <w:autoSpaceDN w:val="0"/>
        <w:adjustRightInd w:val="0"/>
        <w:ind w:left="480" w:hanging="480"/>
        <w:rPr>
          <w:rFonts w:ascii="Roboto" w:hAnsi="Roboto"/>
          <w:noProof/>
          <w:lang w:val="it-IT"/>
        </w:rPr>
      </w:pPr>
      <w:r w:rsidRPr="007C6C48">
        <w:rPr>
          <w:rFonts w:ascii="Roboto" w:hAnsi="Roboto"/>
          <w:noProof/>
        </w:rPr>
        <w:t xml:space="preserve">Burgisser, A., Alletti, M., Scaillet, B., 2015. Simulating the behavior of volatiles belonging to the C–O–H–S system in silicate melts under magmatic conditions with the software D-Compress. </w:t>
      </w:r>
      <w:r w:rsidRPr="007C6C48">
        <w:rPr>
          <w:rFonts w:ascii="Roboto" w:hAnsi="Roboto"/>
          <w:noProof/>
          <w:lang w:val="it-IT"/>
        </w:rPr>
        <w:t>Comput. Geosci. 79, 1–14. https://doi.org/10.1016/J.CAGEO.2015.03.002</w:t>
      </w:r>
    </w:p>
    <w:p w14:paraId="480DFE20"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it-IT"/>
        </w:rPr>
        <w:t xml:space="preserve">Chowdhury, P., Dasgupta, R., 2019. </w:t>
      </w:r>
      <w:r w:rsidRPr="007C6C48">
        <w:rPr>
          <w:rFonts w:ascii="Roboto" w:hAnsi="Roboto"/>
          <w:noProof/>
        </w:rPr>
        <w:t>Effect of sulfate on the basaltic liquidus and Sulfur Concentration at Anhydrite Saturation (SCAS) of hydrous basalts – Implications for sulfur cycle in subduction zones. Chem. Geol. 522, 162–174. https://doi.org/10.1016/J.CHEMGEO.2019.05.020</w:t>
      </w:r>
    </w:p>
    <w:p w14:paraId="54A34123" w14:textId="04432678" w:rsidR="00566F4B" w:rsidRPr="007C6C48" w:rsidRDefault="00566F4B" w:rsidP="0016716F">
      <w:pPr>
        <w:widowControl w:val="0"/>
        <w:autoSpaceDE w:val="0"/>
        <w:autoSpaceDN w:val="0"/>
        <w:adjustRightInd w:val="0"/>
        <w:ind w:left="480" w:hanging="480"/>
        <w:rPr>
          <w:rFonts w:ascii="Roboto" w:hAnsi="Roboto"/>
          <w:noProof/>
        </w:rPr>
      </w:pPr>
      <w:r w:rsidRPr="007C6C48">
        <w:rPr>
          <w:rFonts w:ascii="Roboto" w:hAnsi="Roboto"/>
          <w:noProof/>
        </w:rPr>
        <w:t>Ding, S., Plank, T., Wallace, P.J. and Rasmussen, D.J., 2023. Sulfur_X: A model of sulfur degassing during magma ascent. </w:t>
      </w:r>
      <w:r w:rsidRPr="007C6C48">
        <w:rPr>
          <w:rFonts w:ascii="Roboto" w:hAnsi="Roboto"/>
          <w:i/>
          <w:iCs/>
          <w:noProof/>
        </w:rPr>
        <w:t>Geochemistry, Geophysics, Geosystems</w:t>
      </w:r>
      <w:r w:rsidRPr="007C6C48">
        <w:rPr>
          <w:rFonts w:ascii="Roboto" w:hAnsi="Roboto"/>
          <w:noProof/>
        </w:rPr>
        <w:t>, </w:t>
      </w:r>
      <w:r w:rsidRPr="007C6C48">
        <w:rPr>
          <w:rFonts w:ascii="Roboto" w:hAnsi="Roboto"/>
          <w:i/>
          <w:iCs/>
          <w:noProof/>
        </w:rPr>
        <w:t>24</w:t>
      </w:r>
      <w:r w:rsidRPr="007C6C48">
        <w:rPr>
          <w:rFonts w:ascii="Roboto" w:hAnsi="Roboto"/>
          <w:noProof/>
        </w:rPr>
        <w:t>(4), p.e2022GC010552. https://doi.org/10.1029/2022GC010552</w:t>
      </w:r>
    </w:p>
    <w:p w14:paraId="5BDADAD4" w14:textId="4F78495C"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Dixon, J.E., 1997. Degassing of alkalic basalts. Am. Mineral. 82, 368–378. https://doi.org/10.2138/AM-1997-3-415/MACHINEREADABLECITATION/RIS</w:t>
      </w:r>
    </w:p>
    <w:p w14:paraId="7609E29C"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Dixon, J.E., Stolper, E.M., Holloway, J.R., 1995. An experimental study of water and carbon dioxide solubilities in mid-ocean ridge basaltic liquids. Part I: Calibration and solubility models. J. Petrol. 36, 1607–1631. https://doi.org/10.1093/oxfordjournals.petrology.a037267</w:t>
      </w:r>
    </w:p>
    <w:p w14:paraId="74477494"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Fine, G., Stolper, E., 1986. Dissolved carbon dioxide in basaltic glasses: concentrations and speciation. Earth Planet. Sci. Lett. 76, 263–278. https://doi.org/10.1016/0012-821X(86)90078-6</w:t>
      </w:r>
    </w:p>
    <w:p w14:paraId="74503FFB"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Fogel, R.A., Rutherford, M.J., 1990. The solubility of carbon dioxide in rhyolitic melts; a quantitative FTIR study. Am. Mineral. 75, 1311–1326.</w:t>
      </w:r>
    </w:p>
    <w:p w14:paraId="45B387E1"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Fortin, M.A., Riddle, J., Desjardins-Langlais, Y., Baker, D.R., 2015. The effect of water on the sulfur concentration at sulfide saturation (SCSS) in natural melts. Geochim. Cosmochim. Acta 160, 100–116. https://doi.org/10.1016/J.GCA.2015.03.022</w:t>
      </w:r>
    </w:p>
    <w:p w14:paraId="645DA3E6" w14:textId="228FC9F2" w:rsidR="002410B1" w:rsidRPr="007C6C48" w:rsidRDefault="002410B1" w:rsidP="0016716F">
      <w:pPr>
        <w:widowControl w:val="0"/>
        <w:autoSpaceDE w:val="0"/>
        <w:autoSpaceDN w:val="0"/>
        <w:adjustRightInd w:val="0"/>
        <w:ind w:left="480" w:hanging="480"/>
        <w:rPr>
          <w:rFonts w:ascii="Roboto" w:hAnsi="Roboto"/>
          <w:noProof/>
        </w:rPr>
      </w:pPr>
      <w:r w:rsidRPr="007C6C48">
        <w:rPr>
          <w:rFonts w:ascii="Roboto" w:hAnsi="Roboto"/>
          <w:noProof/>
        </w:rPr>
        <w:t>Frost, B.R., 2018. Introduction to oxygen fugacity and its petrologic importance. In </w:t>
      </w:r>
      <w:r w:rsidRPr="007C6C48">
        <w:rPr>
          <w:rFonts w:ascii="Roboto" w:hAnsi="Roboto"/>
          <w:i/>
          <w:iCs/>
          <w:noProof/>
        </w:rPr>
        <w:t>Oxide minerals</w:t>
      </w:r>
      <w:r w:rsidRPr="007C6C48">
        <w:rPr>
          <w:rFonts w:ascii="Roboto" w:hAnsi="Roboto"/>
          <w:noProof/>
        </w:rPr>
        <w:t> (pp. 1-10). De Gruyter. https://</w:t>
      </w:r>
      <w:hyperlink r:id="rId12" w:tgtFrame="_blank" w:history="1">
        <w:r w:rsidRPr="007C6C48">
          <w:rPr>
            <w:rStyle w:val="Hyperlink"/>
            <w:rFonts w:ascii="Roboto" w:hAnsi="Roboto"/>
            <w:noProof/>
          </w:rPr>
          <w:t>doi.org/10.1515/9781501508684-004</w:t>
        </w:r>
      </w:hyperlink>
    </w:p>
    <w:p w14:paraId="13709AC8"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Haughton, D.R., Roeder, P.L., Skinner, B.J., 1974. Solubility of Sulfur in Mafic Magmas. Econ. Geol. 69, 451–467. https://doi.org/10.2113/GSECONGEO.69.4.451</w:t>
      </w:r>
    </w:p>
    <w:p w14:paraId="61EEAE8A"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Hirschmann, M.M., Withers, A.C., Ardia, P., Foley, N.T., 2012. Solubility of molecular hydrogen in silicate melts and consequences for volatile evolution of terrestrial planets. Earth Planet. Sci. Lett. 345–348, 38–48. https://doi.org/10.1016/J.EPSL.2012.06.031</w:t>
      </w:r>
    </w:p>
    <w:p w14:paraId="1CAAD3B4" w14:textId="77777777" w:rsidR="0016716F" w:rsidRPr="007C6C48" w:rsidRDefault="0016716F" w:rsidP="0016716F">
      <w:pPr>
        <w:widowControl w:val="0"/>
        <w:autoSpaceDE w:val="0"/>
        <w:autoSpaceDN w:val="0"/>
        <w:adjustRightInd w:val="0"/>
        <w:ind w:left="480" w:hanging="480"/>
        <w:rPr>
          <w:rFonts w:ascii="Roboto" w:hAnsi="Roboto"/>
          <w:noProof/>
          <w:lang w:val="nl-NL"/>
        </w:rPr>
      </w:pPr>
      <w:r w:rsidRPr="007C6C48">
        <w:rPr>
          <w:rFonts w:ascii="Roboto" w:hAnsi="Roboto"/>
          <w:noProof/>
        </w:rPr>
        <w:t xml:space="preserve">Holland, T., Powell, R., 1991. A Compensated-Redlich-Kwong (CORK) equation for volumes and fugacities of CO2 and H2O in the range 1 bar to 50 kbar and 100–1600°C. Contrib. to Mineral. </w:t>
      </w:r>
      <w:r w:rsidRPr="007C6C48">
        <w:rPr>
          <w:rFonts w:ascii="Roboto" w:hAnsi="Roboto"/>
          <w:noProof/>
          <w:lang w:val="nl-NL"/>
        </w:rPr>
        <w:t>Petrol. 1991 1092 109, 265–273. https://doi.org/10.1007/BF00306484</w:t>
      </w:r>
    </w:p>
    <w:p w14:paraId="6088659F"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nl-NL"/>
        </w:rPr>
        <w:t xml:space="preserve">Holloway, J.R., Blank, J.G., 1994. </w:t>
      </w:r>
      <w:r w:rsidRPr="007C6C48">
        <w:rPr>
          <w:rFonts w:ascii="Roboto" w:hAnsi="Roboto"/>
          <w:noProof/>
        </w:rPr>
        <w:t>Application of experimental results to C-O-H species in natural melts. Rev. Mineral. Geochemistry1 30, 187–230.</w:t>
      </w:r>
    </w:p>
    <w:p w14:paraId="6BAF7EAB"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Holloway, J.R., Pan, V., Gudmundsson, G.B., 1992. High-pressure fluid-absent melting experiments in the presence of graphite: oxygen fugacity, ferric/ferrous ratio and dissolved CO2. Eur. J. Mineral. 4, 105–114.</w:t>
      </w:r>
    </w:p>
    <w:p w14:paraId="469B5444"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 xml:space="preserve">Hughes, E.C., Liggins, P., Saper, L., Stolper, E.M., 2024. The effects of oxygen fugacity </w:t>
      </w:r>
      <w:r w:rsidRPr="007C6C48">
        <w:rPr>
          <w:rFonts w:ascii="Roboto" w:hAnsi="Roboto"/>
          <w:noProof/>
        </w:rPr>
        <w:lastRenderedPageBreak/>
        <w:t>and sulfur on the pressure of vapor-saturation of magma. Am. Mineral. 109, 422–438.</w:t>
      </w:r>
    </w:p>
    <w:p w14:paraId="4FFC8F24" w14:textId="77777777" w:rsidR="0016716F" w:rsidRPr="007C6C48" w:rsidRDefault="0016716F" w:rsidP="0016716F">
      <w:pPr>
        <w:widowControl w:val="0"/>
        <w:autoSpaceDE w:val="0"/>
        <w:autoSpaceDN w:val="0"/>
        <w:adjustRightInd w:val="0"/>
        <w:ind w:left="480" w:hanging="480"/>
        <w:rPr>
          <w:rFonts w:ascii="Roboto" w:hAnsi="Roboto"/>
          <w:noProof/>
          <w:lang w:val="it-IT"/>
        </w:rPr>
      </w:pPr>
      <w:r w:rsidRPr="007C6C48">
        <w:rPr>
          <w:rFonts w:ascii="Roboto" w:hAnsi="Roboto"/>
          <w:noProof/>
        </w:rPr>
        <w:t xml:space="preserve">Hughes, E.C., Saper, L.M., Liggins, P., O’Neill, H.S.C., Stolper, E.M., 2022. The sulfur solubility minimum and maximum in silicate melt. J. Geol. Soc. </w:t>
      </w:r>
      <w:r w:rsidRPr="007C6C48">
        <w:rPr>
          <w:rFonts w:ascii="Roboto" w:hAnsi="Roboto"/>
          <w:noProof/>
          <w:lang w:val="it-IT"/>
        </w:rPr>
        <w:t>London. 180, jgs2021-125. https://doi.org/https://doi.org/10.1144/jgs2021-125</w:t>
      </w:r>
    </w:p>
    <w:p w14:paraId="270C3B23"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it-IT"/>
        </w:rPr>
        <w:t xml:space="preserve">Iacono-Marziano, G., Paonita, A., Rizzo, A., Scaillet, B., Gaillard, F., 2010. </w:t>
      </w:r>
      <w:r w:rsidRPr="007C6C48">
        <w:rPr>
          <w:rFonts w:ascii="Roboto" w:hAnsi="Roboto"/>
          <w:noProof/>
        </w:rPr>
        <w:t>Noble gas solubilities in silicate melts: New experimental results and a comprehensive model of the effects of liquid composition, temperature and pressure. Chem. Geol. 279, 145–157. https://doi.org/10.1016/J.CHEMGEO.2010.10.017</w:t>
      </w:r>
    </w:p>
    <w:p w14:paraId="1B456623"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Kadik, A.A., Lukanin, O.A., Lebedev, Y.B., Korovushkina, E.Y., 1972. Solubility of H2O and CO2 in granite and basalt melts at high pressures. Geochem. Int. 9, 1041–1050.</w:t>
      </w:r>
    </w:p>
    <w:p w14:paraId="506C1DF0"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Kress, V.C., Carmichael, I.S.E., 1991. The compressibility of silicate liquids containing Fe2O3 and the effect of composition, temperature, oxygen fugacity and pressure on their redox states. Contrib. to Mineral. Petrol. 108, 82–92. https://doi.org/10.1007/BF00307328</w:t>
      </w:r>
    </w:p>
    <w:p w14:paraId="5EC55621"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Lesne, P., Scaillet, B., Pichavant, M., 2015. The solubility of sulfur in hydrous basaltic melts. Chem. Geol. 418, 104–116. https://doi.org/10.1016/J.CHEMGEO.2015.03.025</w:t>
      </w:r>
    </w:p>
    <w:p w14:paraId="538616F0"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Lesne, P., Scaillet, B., Pichavant, M., Brey, G.P., 2011. The carbon dioxide solubility in alkali basalts: an experimental study. Contrib. to Mineral. Petrol. 162, 153–168. https://doi.org/10.1007/s00410-010-0585-0</w:t>
      </w:r>
    </w:p>
    <w:p w14:paraId="5A2AE50E"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Liggins, P., Shorttle, O., Rimmer, P.B., 2020. Can volcanism build hydrogen-rich early atmospheres? Earth Planet. Sci. Lett. 550, 116546. https://doi.org/10.1016/J.EPSL.2020.116546</w:t>
      </w:r>
    </w:p>
    <w:p w14:paraId="3AA22B32"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Liu, K., Zhang, L., Guo, X., Ni, H., 2021. Effects of sulfide composition and melt H2O on sulfur content at sulfide saturation in basaltic melts. Chem. Geol. 559, 119913. https://doi.org/10.1016/j.chemgeo.2020.119913</w:t>
      </w:r>
    </w:p>
    <w:p w14:paraId="7A5FE039"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Liu, K., Zhang, L., Ni, H., 2023. Anhydrite solubility enhanced by CaO in silicate melts: Implications for sulfur cycling in subduction zones. Geochim. Cosmochim. Acta 349, 135–145. https://doi.org/10.1016/J.GCA.2023.04.007</w:t>
      </w:r>
    </w:p>
    <w:p w14:paraId="4B29DA5A"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Liu, Y., Samaha, N.T., Baker, D.R., 2007. Sulfur concentration at sulfide saturation (SCSS) in magmatic silicate melts. Geochim. Cosmochim. Acta 71, 1783–1799. https://doi.org/10.1016/J.GCA.2007.01.004</w:t>
      </w:r>
    </w:p>
    <w:p w14:paraId="1FAA7B0D"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Moune, S., Holtz, F., Botcharnikov, R.E., 2009. Sulphur solubility in andesitic to basaltic melts: implications for Hekla volcano. Contrib. to Mineral. Petrol. 157, 691–707. https://doi.org/10.1007/s00410-008-0359-0</w:t>
      </w:r>
    </w:p>
    <w:p w14:paraId="6A3F58B8"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Moussallam, Y., Oppenheimer, C., Scaillet, B., 2019. On the relationship between oxidation state and temperature of volcanic gas emissions. Earth Planet. Sci. Lett. 520, 260–267. https://doi.org/10.1016/J.EPSL.2019.05.036</w:t>
      </w:r>
    </w:p>
    <w:p w14:paraId="7CA50A6B" w14:textId="6EAF96EE" w:rsidR="002410B1" w:rsidRPr="007C6C48" w:rsidRDefault="002410B1" w:rsidP="0016716F">
      <w:pPr>
        <w:widowControl w:val="0"/>
        <w:autoSpaceDE w:val="0"/>
        <w:autoSpaceDN w:val="0"/>
        <w:adjustRightInd w:val="0"/>
        <w:ind w:left="480" w:hanging="480"/>
        <w:rPr>
          <w:rFonts w:ascii="Roboto" w:hAnsi="Roboto"/>
          <w:noProof/>
        </w:rPr>
      </w:pPr>
      <w:r w:rsidRPr="007C6C48">
        <w:rPr>
          <w:rFonts w:ascii="Roboto" w:hAnsi="Roboto"/>
          <w:noProof/>
        </w:rPr>
        <w:t>O'Neill, H.S., 1987. Quartz-fayalite-iron and quartz-fayalite-magnetite equilibria and the free energy of formation of fayalite (Fe 2 SiO 4) and magnetite (Fe 3 O 4). </w:t>
      </w:r>
      <w:r w:rsidRPr="007C6C48">
        <w:rPr>
          <w:rFonts w:ascii="Roboto" w:hAnsi="Roboto"/>
          <w:i/>
          <w:iCs/>
          <w:noProof/>
        </w:rPr>
        <w:t>American Mineralogist</w:t>
      </w:r>
      <w:r w:rsidRPr="007C6C48">
        <w:rPr>
          <w:rFonts w:ascii="Roboto" w:hAnsi="Roboto"/>
          <w:noProof/>
        </w:rPr>
        <w:t>, </w:t>
      </w:r>
      <w:r w:rsidRPr="007C6C48">
        <w:rPr>
          <w:rFonts w:ascii="Roboto" w:hAnsi="Roboto"/>
          <w:i/>
          <w:iCs/>
          <w:noProof/>
        </w:rPr>
        <w:t>72</w:t>
      </w:r>
      <w:r w:rsidRPr="007C6C48">
        <w:rPr>
          <w:rFonts w:ascii="Roboto" w:hAnsi="Roboto"/>
          <w:noProof/>
        </w:rPr>
        <w:t>(1-2), pp.67-75.</w:t>
      </w:r>
    </w:p>
    <w:p w14:paraId="1B3B7120"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O’Neill, H.S.C., 2021. The thermodynamic controls on sulfide saturation in silicate melts with application to Ocean Floor Basalts., in: Moretti, R., Neuville, D.R. (Eds.), Magma Redox Geochemistry, Geophysical Monograph Series. John Wiley &amp; Sons, Inc., pp. 177–213. https://doi.org/10.1002/9781119473206.ch10</w:t>
      </w:r>
    </w:p>
    <w:p w14:paraId="526F89C7"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 xml:space="preserve">O’Neill, H.S.C., Berry, A.J., Mallmann, G., 2018. The oxidation state of iron in Mid-Ocean Ridge Basaltic (MORB) glasses: Implications for their petrogenesis and </w:t>
      </w:r>
      <w:r w:rsidRPr="007C6C48">
        <w:rPr>
          <w:rFonts w:ascii="Roboto" w:hAnsi="Roboto"/>
          <w:noProof/>
        </w:rPr>
        <w:lastRenderedPageBreak/>
        <w:t>oxygen fugacities. Earth Planet. Sci. Lett. 504, 152–162. https://doi.org/10.1016/J.EPSL.2018.10.002</w:t>
      </w:r>
    </w:p>
    <w:p w14:paraId="1C057721"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O’Neill, H.S.C., Mavrogenes, J.A., 2022. The sulfate capacities of silicate melts. Geochim. Cosmochim. Acta. https://doi.org/10.1016/J.GCA.2022.06.020</w:t>
      </w:r>
    </w:p>
    <w:p w14:paraId="18B7ECAE"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O’Neill, H.S.C., Mavrogenes, J.A., 2002. The sulfide capacity and the sulfur content at sulfide saturation of silicate melts at 1400°C and 1 bar. J. Petrol. 43, 1049–1087. https://doi.org/10.1093/petrology/43.6.1049</w:t>
      </w:r>
    </w:p>
    <w:p w14:paraId="62FF91D2"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Ohmoto, H., Kerrick, D.M., 1977. Devolatilization equilibria in graphitic systems. Am. J. Sci. 277, 1013–1044. https://doi.org/10.2475/AJS.277.8.1013</w:t>
      </w:r>
    </w:p>
    <w:p w14:paraId="018A117D"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Pan, V., Holloway, J.R., Hervig, R.L., 1991. The pressure and temperature dependence of carbon dioxide solubility in tholeiitic basalt melts. Geochim. Cosmochim. Acta 55, 1587–1595. https://doi.org/10.1016/0016-7037(91)90130-W</w:t>
      </w:r>
    </w:p>
    <w:p w14:paraId="28CDA6FA" w14:textId="77777777" w:rsidR="0016716F" w:rsidRPr="007C6C48" w:rsidRDefault="0016716F" w:rsidP="0016716F">
      <w:pPr>
        <w:widowControl w:val="0"/>
        <w:autoSpaceDE w:val="0"/>
        <w:autoSpaceDN w:val="0"/>
        <w:adjustRightInd w:val="0"/>
        <w:ind w:left="480" w:hanging="480"/>
        <w:rPr>
          <w:rFonts w:ascii="Roboto" w:hAnsi="Roboto"/>
          <w:noProof/>
          <w:lang w:val="de-DE"/>
        </w:rPr>
      </w:pPr>
      <w:r w:rsidRPr="007C6C48">
        <w:rPr>
          <w:rFonts w:ascii="Roboto" w:hAnsi="Roboto"/>
          <w:noProof/>
        </w:rPr>
        <w:t xml:space="preserve">Shaw, H.R., Wones, D.R., 1964. Fugacity coefficients for hydrogen gas between 0 degrees and 1000 degrees C, for pressures to 3000 atm. </w:t>
      </w:r>
      <w:r w:rsidRPr="007C6C48">
        <w:rPr>
          <w:rFonts w:ascii="Roboto" w:hAnsi="Roboto"/>
          <w:noProof/>
          <w:lang w:val="de-DE"/>
        </w:rPr>
        <w:t>Am. J. Sci. 262, 918–929. https://doi.org/10.2475/AJS.262.7.918</w:t>
      </w:r>
    </w:p>
    <w:p w14:paraId="748B91FF"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de-DE"/>
        </w:rPr>
        <w:t xml:space="preserve">Shi, P., Saxena, S.K., 1992. </w:t>
      </w:r>
      <w:r w:rsidRPr="007C6C48">
        <w:rPr>
          <w:rFonts w:ascii="Roboto" w:hAnsi="Roboto"/>
          <w:noProof/>
        </w:rPr>
        <w:t>Thermodynamic modeing of the C-H-O-S fluid system. Am. Mineral. 77, 1038–1049.</w:t>
      </w:r>
    </w:p>
    <w:p w14:paraId="296CCC6D" w14:textId="77777777" w:rsidR="0016716F" w:rsidRPr="007C6C48" w:rsidRDefault="0016716F" w:rsidP="0016716F">
      <w:pPr>
        <w:widowControl w:val="0"/>
        <w:autoSpaceDE w:val="0"/>
        <w:autoSpaceDN w:val="0"/>
        <w:adjustRightInd w:val="0"/>
        <w:ind w:left="480" w:hanging="480"/>
        <w:rPr>
          <w:rFonts w:ascii="Roboto" w:hAnsi="Roboto"/>
          <w:noProof/>
          <w:lang w:val="de-DE"/>
        </w:rPr>
      </w:pPr>
      <w:r w:rsidRPr="007C6C48">
        <w:rPr>
          <w:rFonts w:ascii="Roboto" w:hAnsi="Roboto"/>
          <w:noProof/>
        </w:rPr>
        <w:t xml:space="preserve">Shishkina, T.A., Botcharnikov, R.E., Holtz, F., Almeev, R.R., Portnyagin, M.V., 2010. Solubility of H2O- and CO2-bearing fluids in tholeiitic basalts at pressures up to 500 MPa. </w:t>
      </w:r>
      <w:r w:rsidRPr="007C6C48">
        <w:rPr>
          <w:rFonts w:ascii="Roboto" w:hAnsi="Roboto"/>
          <w:noProof/>
          <w:lang w:val="de-DE"/>
        </w:rPr>
        <w:t>Chem. Geol. 277, 115–125. https://doi.org/10.1016/J.CHEMGEO.2010.07.014</w:t>
      </w:r>
    </w:p>
    <w:p w14:paraId="4DEB394E"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de-DE"/>
        </w:rPr>
        <w:t xml:space="preserve">Silver, L.A., Ihinger, P.D., Stolper, E.M., 1990. </w:t>
      </w:r>
      <w:r w:rsidRPr="007C6C48">
        <w:rPr>
          <w:rFonts w:ascii="Roboto" w:hAnsi="Roboto"/>
          <w:noProof/>
        </w:rPr>
        <w:t>The influence of bulk composition on the speciation of water in silicate glasses. Contrib. to Mineral. Petrol. 104, 142–162. https://doi.org/10.1007/BF00306439</w:t>
      </w:r>
    </w:p>
    <w:p w14:paraId="540238A8"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Smythe, D.J., Wood, B.J., Kiseeva, E.S., 2017. The S content of silicate melts at sulfide saturation: New experiments and a model incorporating the effects of sulfide composition. Am. Mineral. 102, 795–803. https://doi.org/10.2138/AM-2017-5800CCBY</w:t>
      </w:r>
    </w:p>
    <w:p w14:paraId="74445E45"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Stanley, B.D., Hirschmann, M.M., Withers, A.C., 2014. Solubility of COH volatiles in graphite-saturated martian basalts. Geochim. Cosmochim. Acta 129, 54–76. https://doi.org/10.1016/j.gca.2013.12.013</w:t>
      </w:r>
    </w:p>
    <w:p w14:paraId="7DE163B7"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Thibault, Y., Holloway, J.R., 1994. Solubility of CO2 in a Ca-rich leucitite: effects of pressure, temperature, and oxygen fugacity. Contrib. to Mineral. Petrol. 116, 216–224. https://doi.org/10.1007/BF00310701/METRICS</w:t>
      </w:r>
    </w:p>
    <w:p w14:paraId="4ABB5DFD"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Tuff, J., O’Neill, H.S.C., 2010. The effect of sulfur on the partitioning of Ni and other first-row transition elements between olivine and silicate melt. Geochim. Cosmochim. Acta 74, 6180–6205. https://doi.org/10.1016/J.GCA.2010.08.014</w:t>
      </w:r>
    </w:p>
    <w:p w14:paraId="11118C27"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rPr>
        <w:t>Wetzel, D.T., Rutherford, M.J., Jacobsen, S.D., Hauri, E.H., Saal, A.E., 2013. Degassing of reduced carbon from planetary basalts. Proc. Natl. Acad. Sci. 110, 8010–8013. https://doi.org/10.1073/PNAS.1219266110</w:t>
      </w:r>
    </w:p>
    <w:p w14:paraId="2F288744" w14:textId="0EDF110C" w:rsidR="00B45276" w:rsidRPr="007C6C48" w:rsidRDefault="00B45276" w:rsidP="0016716F">
      <w:pPr>
        <w:widowControl w:val="0"/>
        <w:autoSpaceDE w:val="0"/>
        <w:autoSpaceDN w:val="0"/>
        <w:adjustRightInd w:val="0"/>
        <w:ind w:left="480" w:hanging="480"/>
        <w:rPr>
          <w:rFonts w:ascii="Roboto" w:hAnsi="Roboto"/>
          <w:noProof/>
        </w:rPr>
      </w:pPr>
      <w:r w:rsidRPr="007C6C48">
        <w:rPr>
          <w:rFonts w:ascii="Roboto" w:hAnsi="Roboto"/>
          <w:noProof/>
        </w:rPr>
        <w:t>Wieser, P., Petrelli, M., Lubbers, J., Wieser, E., Ozaydin, S., Kent, A. and Till, C. (2022) “Thermobar: An open-source Python3 tool for thermobarometry and hygrometry”, </w:t>
      </w:r>
      <w:r w:rsidRPr="007C6C48">
        <w:rPr>
          <w:rFonts w:ascii="Roboto" w:hAnsi="Roboto"/>
          <w:i/>
          <w:iCs/>
          <w:noProof/>
        </w:rPr>
        <w:t>Volcanica</w:t>
      </w:r>
      <w:r w:rsidRPr="007C6C48">
        <w:rPr>
          <w:rFonts w:ascii="Roboto" w:hAnsi="Roboto"/>
          <w:noProof/>
        </w:rPr>
        <w:t>, 5(2), pp. 349–384. doi: 10.30909/vol.05.02.349384.</w:t>
      </w:r>
    </w:p>
    <w:p w14:paraId="693A7474" w14:textId="77E88AFA"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de-DE"/>
        </w:rPr>
        <w:t xml:space="preserve">Wieser, P.E., Gleeson, M., 2023. </w:t>
      </w:r>
      <w:r w:rsidRPr="007C6C48">
        <w:rPr>
          <w:rFonts w:ascii="Roboto" w:hAnsi="Roboto"/>
          <w:noProof/>
        </w:rPr>
        <w:t>PySulfSat: An open-source Python3 tool for modeling sulfide and sulfate saturation. Volcanica 6, 107–127. https://doi.org/10.30909/VOL.06.01.107127</w:t>
      </w:r>
    </w:p>
    <w:p w14:paraId="02928081" w14:textId="77777777" w:rsidR="0016716F" w:rsidRPr="007C6C48" w:rsidRDefault="0016716F" w:rsidP="0016716F">
      <w:pPr>
        <w:widowControl w:val="0"/>
        <w:autoSpaceDE w:val="0"/>
        <w:autoSpaceDN w:val="0"/>
        <w:adjustRightInd w:val="0"/>
        <w:ind w:left="480" w:hanging="480"/>
        <w:rPr>
          <w:rFonts w:ascii="Roboto" w:hAnsi="Roboto"/>
          <w:noProof/>
          <w:lang w:val="it-IT"/>
        </w:rPr>
      </w:pPr>
      <w:r w:rsidRPr="007C6C48">
        <w:rPr>
          <w:rFonts w:ascii="Roboto" w:hAnsi="Roboto"/>
          <w:noProof/>
        </w:rPr>
        <w:t xml:space="preserve">Witham, F., Blundy, J.D., Kohn, S.C., Lesne, P., Dixon, J.E., Churakov, S. V., Botcharnikov, R.E., 2012. SolEx: A model for mixed COHSCl-volatile solubilities and exsolved gas compositions in basalt. </w:t>
      </w:r>
      <w:r w:rsidRPr="007C6C48">
        <w:rPr>
          <w:rFonts w:ascii="Roboto" w:hAnsi="Roboto"/>
          <w:noProof/>
          <w:lang w:val="it-IT"/>
        </w:rPr>
        <w:t xml:space="preserve">Comput. Geosci. 45, 87–97. </w:t>
      </w:r>
      <w:r w:rsidRPr="007C6C48">
        <w:rPr>
          <w:rFonts w:ascii="Roboto" w:hAnsi="Roboto"/>
          <w:noProof/>
          <w:lang w:val="it-IT"/>
        </w:rPr>
        <w:lastRenderedPageBreak/>
        <w:t>https://doi.org/10.1016/j.cageo.2011.09.021</w:t>
      </w:r>
    </w:p>
    <w:p w14:paraId="495879BA" w14:textId="77777777" w:rsidR="0016716F" w:rsidRPr="007C6C48" w:rsidRDefault="0016716F" w:rsidP="0016716F">
      <w:pPr>
        <w:widowControl w:val="0"/>
        <w:autoSpaceDE w:val="0"/>
        <w:autoSpaceDN w:val="0"/>
        <w:adjustRightInd w:val="0"/>
        <w:ind w:left="480" w:hanging="480"/>
        <w:rPr>
          <w:rFonts w:ascii="Roboto" w:hAnsi="Roboto"/>
          <w:noProof/>
        </w:rPr>
      </w:pPr>
      <w:r w:rsidRPr="007C6C48">
        <w:rPr>
          <w:rFonts w:ascii="Roboto" w:hAnsi="Roboto"/>
          <w:noProof/>
          <w:lang w:val="it-IT"/>
        </w:rPr>
        <w:t xml:space="preserve">Zajacz, Z., Tsay, A., 2019. </w:t>
      </w:r>
      <w:r w:rsidRPr="007C6C48">
        <w:rPr>
          <w:rFonts w:ascii="Roboto" w:hAnsi="Roboto"/>
          <w:noProof/>
        </w:rPr>
        <w:t>An accurate model to predict sulfur concentration at anhydrite saturation in silicate melts. Geochim. Cosmochim. Acta 261, 288–304. https://doi.org/10.1016/J.GCA.2019.07.007</w:t>
      </w:r>
    </w:p>
    <w:p w14:paraId="3DBADF89" w14:textId="6242BC7F" w:rsidR="0016716F" w:rsidRPr="007C6C48" w:rsidRDefault="0016716F" w:rsidP="0016716F">
      <w:pPr>
        <w:rPr>
          <w:rFonts w:ascii="Roboto" w:hAnsi="Roboto"/>
        </w:rPr>
      </w:pPr>
      <w:r w:rsidRPr="007C6C48">
        <w:rPr>
          <w:rFonts w:ascii="Roboto" w:hAnsi="Roboto"/>
        </w:rPr>
        <w:fldChar w:fldCharType="end"/>
      </w:r>
    </w:p>
    <w:sectPr w:rsidR="0016716F" w:rsidRPr="007C6C48" w:rsidSect="008C52C2">
      <w:footerReference w:type="even" r:id="rId13"/>
      <w:footerReference w:type="default" r:id="rId14"/>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1B6D3" w14:textId="77777777" w:rsidR="005071A4" w:rsidRDefault="005071A4">
      <w:pPr>
        <w:spacing w:line="240" w:lineRule="auto"/>
      </w:pPr>
      <w:r>
        <w:separator/>
      </w:r>
    </w:p>
  </w:endnote>
  <w:endnote w:type="continuationSeparator" w:id="0">
    <w:p w14:paraId="46AD1CA4" w14:textId="77777777" w:rsidR="005071A4" w:rsidRDefault="005071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Roboto">
    <w:panose1 w:val="02000000000000000000"/>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0011750"/>
      <w:docPartObj>
        <w:docPartGallery w:val="Page Numbers (Bottom of Page)"/>
        <w:docPartUnique/>
      </w:docPartObj>
    </w:sdtPr>
    <w:sdtContent>
      <w:p w14:paraId="3E5ED63C" w14:textId="77777777" w:rsidR="0094248A" w:rsidRDefault="0016716F" w:rsidP="00375C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74D933D" w14:textId="77777777" w:rsidR="0094248A" w:rsidRDefault="0094248A" w:rsidP="00CB11C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7546956"/>
      <w:docPartObj>
        <w:docPartGallery w:val="Page Numbers (Bottom of Page)"/>
        <w:docPartUnique/>
      </w:docPartObj>
    </w:sdtPr>
    <w:sdtContent>
      <w:p w14:paraId="3408245B" w14:textId="77777777" w:rsidR="0094248A" w:rsidRDefault="0016716F" w:rsidP="00375CE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767794C" w14:textId="77777777" w:rsidR="0094248A" w:rsidRDefault="0094248A" w:rsidP="00CB11C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A1899" w14:textId="77777777" w:rsidR="005071A4" w:rsidRDefault="005071A4">
      <w:pPr>
        <w:spacing w:line="240" w:lineRule="auto"/>
      </w:pPr>
      <w:r>
        <w:separator/>
      </w:r>
    </w:p>
  </w:footnote>
  <w:footnote w:type="continuationSeparator" w:id="0">
    <w:p w14:paraId="61B6EE2E" w14:textId="77777777" w:rsidR="005071A4" w:rsidRDefault="005071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80449"/>
    <w:multiLevelType w:val="multilevel"/>
    <w:tmpl w:val="1EA86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A4D4D8A"/>
    <w:multiLevelType w:val="hybridMultilevel"/>
    <w:tmpl w:val="E4088F6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652331DA"/>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8224086"/>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75E811AE"/>
    <w:multiLevelType w:val="hybridMultilevel"/>
    <w:tmpl w:val="1A0C97EA"/>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702176500">
    <w:abstractNumId w:val="3"/>
  </w:num>
  <w:num w:numId="2" w16cid:durableId="2050565236">
    <w:abstractNumId w:val="2"/>
  </w:num>
  <w:num w:numId="3" w16cid:durableId="11609217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42045098">
    <w:abstractNumId w:val="4"/>
  </w:num>
  <w:num w:numId="5" w16cid:durableId="557785196">
    <w:abstractNumId w:val="0"/>
  </w:num>
  <w:num w:numId="6" w16cid:durableId="838694280">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716F"/>
    <w:rsid w:val="000229A8"/>
    <w:rsid w:val="00024F1A"/>
    <w:rsid w:val="00025882"/>
    <w:rsid w:val="00031B93"/>
    <w:rsid w:val="00073889"/>
    <w:rsid w:val="00085EAF"/>
    <w:rsid w:val="000E28FD"/>
    <w:rsid w:val="000E3899"/>
    <w:rsid w:val="0010473B"/>
    <w:rsid w:val="00144A27"/>
    <w:rsid w:val="0015477F"/>
    <w:rsid w:val="0016716F"/>
    <w:rsid w:val="001A1A9B"/>
    <w:rsid w:val="001A61DD"/>
    <w:rsid w:val="001B010B"/>
    <w:rsid w:val="001D465C"/>
    <w:rsid w:val="001D7C4F"/>
    <w:rsid w:val="001E7ABD"/>
    <w:rsid w:val="001F10E6"/>
    <w:rsid w:val="002410B1"/>
    <w:rsid w:val="00244004"/>
    <w:rsid w:val="0025121F"/>
    <w:rsid w:val="002860A7"/>
    <w:rsid w:val="002D33A2"/>
    <w:rsid w:val="002F0513"/>
    <w:rsid w:val="00353D44"/>
    <w:rsid w:val="00370488"/>
    <w:rsid w:val="003747B3"/>
    <w:rsid w:val="00390C3F"/>
    <w:rsid w:val="003C2D3F"/>
    <w:rsid w:val="003C7674"/>
    <w:rsid w:val="00412E7F"/>
    <w:rsid w:val="004210CD"/>
    <w:rsid w:val="00493D97"/>
    <w:rsid w:val="004B6548"/>
    <w:rsid w:val="004C25CB"/>
    <w:rsid w:val="004C6287"/>
    <w:rsid w:val="004D29E4"/>
    <w:rsid w:val="004E3BD1"/>
    <w:rsid w:val="004F746F"/>
    <w:rsid w:val="005071A4"/>
    <w:rsid w:val="00530F0B"/>
    <w:rsid w:val="0055358B"/>
    <w:rsid w:val="00563332"/>
    <w:rsid w:val="00566F4B"/>
    <w:rsid w:val="0058021C"/>
    <w:rsid w:val="0059278A"/>
    <w:rsid w:val="00592E58"/>
    <w:rsid w:val="005B10AA"/>
    <w:rsid w:val="005C2D66"/>
    <w:rsid w:val="005D04B4"/>
    <w:rsid w:val="005D0D30"/>
    <w:rsid w:val="005F59D0"/>
    <w:rsid w:val="0061632B"/>
    <w:rsid w:val="0066319A"/>
    <w:rsid w:val="006829FE"/>
    <w:rsid w:val="006A028C"/>
    <w:rsid w:val="006A59BA"/>
    <w:rsid w:val="006A647B"/>
    <w:rsid w:val="006D1329"/>
    <w:rsid w:val="00704447"/>
    <w:rsid w:val="00711D5B"/>
    <w:rsid w:val="00726532"/>
    <w:rsid w:val="007630AD"/>
    <w:rsid w:val="00766C19"/>
    <w:rsid w:val="00784158"/>
    <w:rsid w:val="007A392D"/>
    <w:rsid w:val="007C4383"/>
    <w:rsid w:val="007C613D"/>
    <w:rsid w:val="007C6C48"/>
    <w:rsid w:val="007D065A"/>
    <w:rsid w:val="007D2E49"/>
    <w:rsid w:val="00841EAD"/>
    <w:rsid w:val="00857B23"/>
    <w:rsid w:val="0086713C"/>
    <w:rsid w:val="0088127F"/>
    <w:rsid w:val="008856F3"/>
    <w:rsid w:val="00886385"/>
    <w:rsid w:val="008A3EE0"/>
    <w:rsid w:val="008C2CF7"/>
    <w:rsid w:val="008C68F9"/>
    <w:rsid w:val="008F6B65"/>
    <w:rsid w:val="00907E9E"/>
    <w:rsid w:val="00910223"/>
    <w:rsid w:val="00910E6C"/>
    <w:rsid w:val="009142E1"/>
    <w:rsid w:val="0091656D"/>
    <w:rsid w:val="00916F32"/>
    <w:rsid w:val="0094248A"/>
    <w:rsid w:val="009610B9"/>
    <w:rsid w:val="00962FF5"/>
    <w:rsid w:val="009715B8"/>
    <w:rsid w:val="00A1633C"/>
    <w:rsid w:val="00A20467"/>
    <w:rsid w:val="00A756B3"/>
    <w:rsid w:val="00AA5401"/>
    <w:rsid w:val="00AF3633"/>
    <w:rsid w:val="00B02647"/>
    <w:rsid w:val="00B45276"/>
    <w:rsid w:val="00B60153"/>
    <w:rsid w:val="00B953A1"/>
    <w:rsid w:val="00BA0A80"/>
    <w:rsid w:val="00BA0C41"/>
    <w:rsid w:val="00BB3F89"/>
    <w:rsid w:val="00BC43CC"/>
    <w:rsid w:val="00BE701A"/>
    <w:rsid w:val="00BF4E5F"/>
    <w:rsid w:val="00C753FE"/>
    <w:rsid w:val="00C87CEB"/>
    <w:rsid w:val="00CA1CED"/>
    <w:rsid w:val="00CB0BAA"/>
    <w:rsid w:val="00CE17BE"/>
    <w:rsid w:val="00CF6F46"/>
    <w:rsid w:val="00D03159"/>
    <w:rsid w:val="00D04F77"/>
    <w:rsid w:val="00D16B84"/>
    <w:rsid w:val="00D67C16"/>
    <w:rsid w:val="00D74C63"/>
    <w:rsid w:val="00D8154F"/>
    <w:rsid w:val="00D912A1"/>
    <w:rsid w:val="00DF4ABB"/>
    <w:rsid w:val="00E479A7"/>
    <w:rsid w:val="00E608E6"/>
    <w:rsid w:val="00E65C2F"/>
    <w:rsid w:val="00E9533F"/>
    <w:rsid w:val="00EF029C"/>
    <w:rsid w:val="00EF340F"/>
    <w:rsid w:val="00EF6EC4"/>
    <w:rsid w:val="00F67E55"/>
    <w:rsid w:val="00F81143"/>
    <w:rsid w:val="00F9118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05233C"/>
  <w15:chartTrackingRefBased/>
  <w15:docId w15:val="{ACFAE911-C9CD-0147-B510-3E36861D2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0488"/>
    <w:pPr>
      <w:spacing w:line="240" w:lineRule="atLeast"/>
      <w:ind w:firstLine="360"/>
    </w:pPr>
    <w:rPr>
      <w:rFonts w:ascii="Times New Roman" w:eastAsia="Times New Roman" w:hAnsi="Times New Roman" w:cs="Times New Roman"/>
      <w:lang w:eastAsia="en-GB"/>
    </w:rPr>
  </w:style>
  <w:style w:type="paragraph" w:styleId="Heading1">
    <w:name w:val="heading 1"/>
    <w:basedOn w:val="Normal"/>
    <w:next w:val="Normal"/>
    <w:link w:val="Heading1Char"/>
    <w:uiPriority w:val="9"/>
    <w:qFormat/>
    <w:rsid w:val="0016716F"/>
    <w:pPr>
      <w:keepNext/>
      <w:keepLines/>
      <w:numPr>
        <w:numId w:val="1"/>
      </w:numPr>
      <w:spacing w:before="240" w:after="240"/>
      <w:outlineLvl w:val="0"/>
    </w:pPr>
    <w:rPr>
      <w:rFonts w:eastAsiaTheme="majorEastAsia" w:cstheme="majorBidi"/>
      <w:b/>
      <w:color w:val="000000" w:themeColor="text1"/>
      <w:szCs w:val="32"/>
    </w:rPr>
  </w:style>
  <w:style w:type="paragraph" w:styleId="Heading2">
    <w:name w:val="heading 2"/>
    <w:basedOn w:val="Normal"/>
    <w:next w:val="Normal"/>
    <w:link w:val="Heading2Char"/>
    <w:uiPriority w:val="9"/>
    <w:unhideWhenUsed/>
    <w:qFormat/>
    <w:rsid w:val="0016716F"/>
    <w:pPr>
      <w:keepNext/>
      <w:keepLines/>
      <w:numPr>
        <w:ilvl w:val="1"/>
        <w:numId w:val="1"/>
      </w:numPr>
      <w:tabs>
        <w:tab w:val="left" w:pos="432"/>
      </w:tabs>
      <w:snapToGrid w:val="0"/>
      <w:spacing w:before="240" w:after="240"/>
      <w:ind w:left="0" w:firstLine="0"/>
      <w:outlineLvl w:val="1"/>
    </w:pPr>
    <w:rPr>
      <w:rFonts w:eastAsiaTheme="majorEastAsia" w:cstheme="majorBidi"/>
      <w:color w:val="000000" w:themeColor="text1"/>
      <w:szCs w:val="26"/>
      <w:u w:val="single"/>
    </w:rPr>
  </w:style>
  <w:style w:type="paragraph" w:styleId="Heading3">
    <w:name w:val="heading 3"/>
    <w:basedOn w:val="Normal"/>
    <w:next w:val="Normal"/>
    <w:link w:val="Heading3Char"/>
    <w:uiPriority w:val="9"/>
    <w:unhideWhenUsed/>
    <w:qFormat/>
    <w:rsid w:val="0016716F"/>
    <w:pPr>
      <w:keepNext/>
      <w:keepLines/>
      <w:numPr>
        <w:ilvl w:val="2"/>
        <w:numId w:val="1"/>
      </w:numPr>
      <w:spacing w:before="40"/>
      <w:outlineLvl w:val="2"/>
    </w:pPr>
    <w:rPr>
      <w:rFonts w:eastAsiaTheme="majorEastAsia" w:cstheme="majorBidi"/>
      <w:color w:val="000000" w:themeColor="text1"/>
    </w:rPr>
  </w:style>
  <w:style w:type="paragraph" w:styleId="Heading4">
    <w:name w:val="heading 4"/>
    <w:basedOn w:val="Normal"/>
    <w:next w:val="Normal"/>
    <w:link w:val="Heading4Char"/>
    <w:uiPriority w:val="9"/>
    <w:unhideWhenUsed/>
    <w:qFormat/>
    <w:rsid w:val="0016716F"/>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6716F"/>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6716F"/>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6716F"/>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6716F"/>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6716F"/>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716F"/>
    <w:rPr>
      <w:rFonts w:ascii="Times New Roman" w:eastAsiaTheme="majorEastAsia" w:hAnsi="Times New Roman" w:cstheme="majorBidi"/>
      <w:b/>
      <w:color w:val="000000" w:themeColor="text1"/>
      <w:szCs w:val="32"/>
      <w:lang w:eastAsia="en-GB"/>
    </w:rPr>
  </w:style>
  <w:style w:type="character" w:customStyle="1" w:styleId="Heading2Char">
    <w:name w:val="Heading 2 Char"/>
    <w:basedOn w:val="DefaultParagraphFont"/>
    <w:link w:val="Heading2"/>
    <w:uiPriority w:val="9"/>
    <w:rsid w:val="0016716F"/>
    <w:rPr>
      <w:rFonts w:ascii="Times New Roman" w:eastAsiaTheme="majorEastAsia" w:hAnsi="Times New Roman" w:cstheme="majorBidi"/>
      <w:color w:val="000000" w:themeColor="text1"/>
      <w:szCs w:val="26"/>
      <w:u w:val="single"/>
      <w:lang w:eastAsia="en-GB"/>
    </w:rPr>
  </w:style>
  <w:style w:type="character" w:customStyle="1" w:styleId="Heading3Char">
    <w:name w:val="Heading 3 Char"/>
    <w:basedOn w:val="DefaultParagraphFont"/>
    <w:link w:val="Heading3"/>
    <w:uiPriority w:val="9"/>
    <w:rsid w:val="0016716F"/>
    <w:rPr>
      <w:rFonts w:ascii="Times New Roman" w:eastAsiaTheme="majorEastAsia" w:hAnsi="Times New Roman" w:cstheme="majorBidi"/>
      <w:color w:val="000000" w:themeColor="text1"/>
      <w:lang w:eastAsia="en-GB"/>
    </w:rPr>
  </w:style>
  <w:style w:type="character" w:customStyle="1" w:styleId="Heading4Char">
    <w:name w:val="Heading 4 Char"/>
    <w:basedOn w:val="DefaultParagraphFont"/>
    <w:link w:val="Heading4"/>
    <w:uiPriority w:val="9"/>
    <w:rsid w:val="0016716F"/>
    <w:rPr>
      <w:rFonts w:asciiTheme="majorHAnsi" w:eastAsiaTheme="majorEastAsia" w:hAnsiTheme="majorHAnsi" w:cstheme="majorBidi"/>
      <w:i/>
      <w:iCs/>
      <w:color w:val="2F5496" w:themeColor="accent1" w:themeShade="BF"/>
      <w:lang w:eastAsia="en-GB"/>
    </w:rPr>
  </w:style>
  <w:style w:type="character" w:customStyle="1" w:styleId="Heading5Char">
    <w:name w:val="Heading 5 Char"/>
    <w:basedOn w:val="DefaultParagraphFont"/>
    <w:link w:val="Heading5"/>
    <w:uiPriority w:val="9"/>
    <w:semiHidden/>
    <w:rsid w:val="0016716F"/>
    <w:rPr>
      <w:rFonts w:asciiTheme="majorHAnsi" w:eastAsiaTheme="majorEastAsia" w:hAnsiTheme="majorHAnsi" w:cstheme="majorBidi"/>
      <w:color w:val="2F5496" w:themeColor="accent1" w:themeShade="BF"/>
      <w:lang w:eastAsia="en-GB"/>
    </w:rPr>
  </w:style>
  <w:style w:type="character" w:customStyle="1" w:styleId="Heading6Char">
    <w:name w:val="Heading 6 Char"/>
    <w:basedOn w:val="DefaultParagraphFont"/>
    <w:link w:val="Heading6"/>
    <w:uiPriority w:val="9"/>
    <w:semiHidden/>
    <w:rsid w:val="0016716F"/>
    <w:rPr>
      <w:rFonts w:asciiTheme="majorHAnsi" w:eastAsiaTheme="majorEastAsia" w:hAnsiTheme="majorHAnsi" w:cstheme="majorBidi"/>
      <w:color w:val="1F3763" w:themeColor="accent1" w:themeShade="7F"/>
      <w:lang w:eastAsia="en-GB"/>
    </w:rPr>
  </w:style>
  <w:style w:type="character" w:customStyle="1" w:styleId="Heading7Char">
    <w:name w:val="Heading 7 Char"/>
    <w:basedOn w:val="DefaultParagraphFont"/>
    <w:link w:val="Heading7"/>
    <w:uiPriority w:val="9"/>
    <w:semiHidden/>
    <w:rsid w:val="0016716F"/>
    <w:rPr>
      <w:rFonts w:asciiTheme="majorHAnsi" w:eastAsiaTheme="majorEastAsia" w:hAnsiTheme="majorHAnsi" w:cstheme="majorBidi"/>
      <w:i/>
      <w:iCs/>
      <w:color w:val="1F3763" w:themeColor="accent1" w:themeShade="7F"/>
      <w:lang w:eastAsia="en-GB"/>
    </w:rPr>
  </w:style>
  <w:style w:type="character" w:customStyle="1" w:styleId="Heading8Char">
    <w:name w:val="Heading 8 Char"/>
    <w:basedOn w:val="DefaultParagraphFont"/>
    <w:link w:val="Heading8"/>
    <w:uiPriority w:val="9"/>
    <w:semiHidden/>
    <w:rsid w:val="0016716F"/>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16716F"/>
    <w:rPr>
      <w:rFonts w:asciiTheme="majorHAnsi" w:eastAsiaTheme="majorEastAsia" w:hAnsiTheme="majorHAnsi" w:cstheme="majorBidi"/>
      <w:i/>
      <w:iCs/>
      <w:color w:val="272727" w:themeColor="text1" w:themeTint="D8"/>
      <w:sz w:val="21"/>
      <w:szCs w:val="21"/>
      <w:lang w:eastAsia="en-GB"/>
    </w:rPr>
  </w:style>
  <w:style w:type="table" w:styleId="TableGrid">
    <w:name w:val="Table Grid"/>
    <w:basedOn w:val="TableNormal"/>
    <w:uiPriority w:val="39"/>
    <w:rsid w:val="001671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6716F"/>
    <w:pPr>
      <w:spacing w:after="200" w:line="240" w:lineRule="exact"/>
      <w:ind w:firstLine="0"/>
    </w:pPr>
    <w:rPr>
      <w:iCs/>
      <w:color w:val="44546A" w:themeColor="text2"/>
      <w:sz w:val="20"/>
      <w:szCs w:val="18"/>
    </w:rPr>
  </w:style>
  <w:style w:type="paragraph" w:styleId="NoSpacing">
    <w:name w:val="No Spacing"/>
    <w:uiPriority w:val="1"/>
    <w:qFormat/>
    <w:rsid w:val="0016716F"/>
    <w:pPr>
      <w:spacing w:after="240"/>
    </w:pPr>
    <w:rPr>
      <w:rFonts w:ascii="Times New Roman" w:hAnsi="Times New Roman"/>
    </w:rPr>
  </w:style>
  <w:style w:type="character" w:styleId="CommentReference">
    <w:name w:val="annotation reference"/>
    <w:basedOn w:val="DefaultParagraphFont"/>
    <w:uiPriority w:val="99"/>
    <w:semiHidden/>
    <w:unhideWhenUsed/>
    <w:rsid w:val="0016716F"/>
    <w:rPr>
      <w:rFonts w:cs="Times New Roman"/>
      <w:sz w:val="16"/>
      <w:szCs w:val="16"/>
    </w:rPr>
  </w:style>
  <w:style w:type="paragraph" w:styleId="CommentText">
    <w:name w:val="annotation text"/>
    <w:basedOn w:val="Normal"/>
    <w:link w:val="CommentTextChar"/>
    <w:uiPriority w:val="99"/>
    <w:unhideWhenUsed/>
    <w:rsid w:val="0016716F"/>
    <w:pPr>
      <w:adjustRightInd w:val="0"/>
      <w:snapToGrid w:val="0"/>
      <w:spacing w:after="240" w:line="200" w:lineRule="exact"/>
    </w:pPr>
    <w:rPr>
      <w:rFonts w:asciiTheme="majorBidi" w:eastAsiaTheme="minorEastAsia" w:hAnsiTheme="majorBidi"/>
      <w:sz w:val="20"/>
      <w:szCs w:val="20"/>
    </w:rPr>
  </w:style>
  <w:style w:type="character" w:customStyle="1" w:styleId="CommentTextChar">
    <w:name w:val="Comment Text Char"/>
    <w:basedOn w:val="DefaultParagraphFont"/>
    <w:link w:val="CommentText"/>
    <w:uiPriority w:val="99"/>
    <w:rsid w:val="0016716F"/>
    <w:rPr>
      <w:rFonts w:asciiTheme="majorBidi" w:eastAsiaTheme="minorEastAsia" w:hAnsiTheme="majorBid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16716F"/>
    <w:pPr>
      <w:adjustRightInd/>
      <w:snapToGrid/>
      <w:spacing w:after="0" w:line="240" w:lineRule="auto"/>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16716F"/>
    <w:rPr>
      <w:rFonts w:asciiTheme="majorBidi" w:eastAsiaTheme="minorEastAsia" w:hAnsiTheme="majorBidi" w:cs="Times New Roman"/>
      <w:b/>
      <w:bCs/>
      <w:sz w:val="20"/>
      <w:szCs w:val="20"/>
      <w:lang w:eastAsia="en-GB"/>
    </w:rPr>
  </w:style>
  <w:style w:type="paragraph" w:customStyle="1" w:styleId="equation">
    <w:name w:val="equation"/>
    <w:basedOn w:val="Normal"/>
    <w:qFormat/>
    <w:rsid w:val="0016716F"/>
    <w:pPr>
      <w:tabs>
        <w:tab w:val="center" w:pos="4680"/>
        <w:tab w:val="right" w:pos="9360"/>
      </w:tabs>
      <w:adjustRightInd w:val="0"/>
      <w:snapToGrid w:val="0"/>
      <w:spacing w:before="240" w:after="240"/>
      <w:jc w:val="both"/>
    </w:pPr>
    <w:rPr>
      <w:rFonts w:asciiTheme="majorBidi" w:eastAsiaTheme="minorEastAsia" w:hAnsiTheme="majorBidi"/>
    </w:rPr>
  </w:style>
  <w:style w:type="paragraph" w:styleId="BalloonText">
    <w:name w:val="Balloon Text"/>
    <w:basedOn w:val="Normal"/>
    <w:link w:val="BalloonTextChar"/>
    <w:uiPriority w:val="99"/>
    <w:semiHidden/>
    <w:unhideWhenUsed/>
    <w:rsid w:val="0016716F"/>
    <w:pPr>
      <w:adjustRightInd w:val="0"/>
      <w:snapToGrid w:val="0"/>
    </w:pPr>
    <w:rPr>
      <w:rFonts w:eastAsiaTheme="minorEastAsia"/>
      <w:sz w:val="18"/>
      <w:szCs w:val="18"/>
    </w:rPr>
  </w:style>
  <w:style w:type="character" w:customStyle="1" w:styleId="BalloonTextChar">
    <w:name w:val="Balloon Text Char"/>
    <w:basedOn w:val="DefaultParagraphFont"/>
    <w:link w:val="BalloonText"/>
    <w:uiPriority w:val="99"/>
    <w:semiHidden/>
    <w:rsid w:val="0016716F"/>
    <w:rPr>
      <w:rFonts w:ascii="Times New Roman" w:eastAsiaTheme="minorEastAsia" w:hAnsi="Times New Roman" w:cs="Times New Roman"/>
      <w:sz w:val="18"/>
      <w:szCs w:val="18"/>
      <w:lang w:eastAsia="en-GB"/>
    </w:rPr>
  </w:style>
  <w:style w:type="paragraph" w:styleId="ListParagraph">
    <w:name w:val="List Paragraph"/>
    <w:basedOn w:val="Normal"/>
    <w:uiPriority w:val="34"/>
    <w:qFormat/>
    <w:rsid w:val="0016716F"/>
    <w:pPr>
      <w:adjustRightInd w:val="0"/>
      <w:snapToGrid w:val="0"/>
      <w:spacing w:after="240"/>
      <w:ind w:left="720"/>
      <w:contextualSpacing/>
    </w:pPr>
    <w:rPr>
      <w:rFonts w:asciiTheme="majorBidi" w:eastAsiaTheme="minorEastAsia" w:hAnsiTheme="majorBidi"/>
    </w:rPr>
  </w:style>
  <w:style w:type="character" w:styleId="Hyperlink">
    <w:name w:val="Hyperlink"/>
    <w:basedOn w:val="DefaultParagraphFont"/>
    <w:uiPriority w:val="99"/>
    <w:unhideWhenUsed/>
    <w:rsid w:val="0016716F"/>
    <w:rPr>
      <w:rFonts w:cs="Times New Roman"/>
      <w:color w:val="0000FF"/>
      <w:u w:val="single"/>
    </w:rPr>
  </w:style>
  <w:style w:type="paragraph" w:styleId="Footer">
    <w:name w:val="footer"/>
    <w:basedOn w:val="Normal"/>
    <w:link w:val="FooterChar"/>
    <w:uiPriority w:val="99"/>
    <w:unhideWhenUsed/>
    <w:rsid w:val="0016716F"/>
    <w:pPr>
      <w:tabs>
        <w:tab w:val="center" w:pos="4513"/>
        <w:tab w:val="right" w:pos="9026"/>
      </w:tabs>
      <w:adjustRightInd w:val="0"/>
      <w:snapToGrid w:val="0"/>
      <w:spacing w:after="240"/>
    </w:pPr>
    <w:rPr>
      <w:rFonts w:asciiTheme="majorBidi" w:eastAsiaTheme="minorEastAsia" w:hAnsiTheme="majorBidi"/>
    </w:rPr>
  </w:style>
  <w:style w:type="character" w:customStyle="1" w:styleId="FooterChar">
    <w:name w:val="Footer Char"/>
    <w:basedOn w:val="DefaultParagraphFont"/>
    <w:link w:val="Footer"/>
    <w:uiPriority w:val="99"/>
    <w:rsid w:val="0016716F"/>
    <w:rPr>
      <w:rFonts w:asciiTheme="majorBidi" w:eastAsiaTheme="minorEastAsia" w:hAnsiTheme="majorBidi" w:cs="Times New Roman"/>
      <w:lang w:eastAsia="en-GB"/>
    </w:rPr>
  </w:style>
  <w:style w:type="paragraph" w:styleId="Header">
    <w:name w:val="header"/>
    <w:basedOn w:val="Normal"/>
    <w:link w:val="HeaderChar"/>
    <w:uiPriority w:val="99"/>
    <w:unhideWhenUsed/>
    <w:rsid w:val="0016716F"/>
    <w:pPr>
      <w:tabs>
        <w:tab w:val="center" w:pos="4513"/>
        <w:tab w:val="right" w:pos="9026"/>
      </w:tabs>
      <w:adjustRightInd w:val="0"/>
      <w:snapToGrid w:val="0"/>
      <w:spacing w:after="240"/>
    </w:pPr>
    <w:rPr>
      <w:rFonts w:asciiTheme="majorBidi" w:eastAsiaTheme="minorEastAsia" w:hAnsiTheme="majorBidi"/>
    </w:rPr>
  </w:style>
  <w:style w:type="character" w:customStyle="1" w:styleId="HeaderChar">
    <w:name w:val="Header Char"/>
    <w:basedOn w:val="DefaultParagraphFont"/>
    <w:link w:val="Header"/>
    <w:uiPriority w:val="99"/>
    <w:rsid w:val="0016716F"/>
    <w:rPr>
      <w:rFonts w:asciiTheme="majorBidi" w:eastAsiaTheme="minorEastAsia" w:hAnsiTheme="majorBidi" w:cs="Times New Roman"/>
      <w:lang w:eastAsia="en-GB"/>
    </w:rPr>
  </w:style>
  <w:style w:type="character" w:styleId="PlaceholderText">
    <w:name w:val="Placeholder Text"/>
    <w:basedOn w:val="DefaultParagraphFont"/>
    <w:uiPriority w:val="99"/>
    <w:semiHidden/>
    <w:rsid w:val="0016716F"/>
    <w:rPr>
      <w:color w:val="808080"/>
    </w:rPr>
  </w:style>
  <w:style w:type="character" w:styleId="UnresolvedMention">
    <w:name w:val="Unresolved Mention"/>
    <w:basedOn w:val="DefaultParagraphFont"/>
    <w:uiPriority w:val="99"/>
    <w:semiHidden/>
    <w:unhideWhenUsed/>
    <w:rsid w:val="0016716F"/>
    <w:rPr>
      <w:color w:val="605E5C"/>
      <w:shd w:val="clear" w:color="auto" w:fill="E1DFDD"/>
    </w:rPr>
  </w:style>
  <w:style w:type="paragraph" w:styleId="Revision">
    <w:name w:val="Revision"/>
    <w:hidden/>
    <w:uiPriority w:val="99"/>
    <w:semiHidden/>
    <w:rsid w:val="0016716F"/>
  </w:style>
  <w:style w:type="character" w:styleId="PageNumber">
    <w:name w:val="page number"/>
    <w:basedOn w:val="DefaultParagraphFont"/>
    <w:uiPriority w:val="99"/>
    <w:semiHidden/>
    <w:unhideWhenUsed/>
    <w:rsid w:val="0016716F"/>
  </w:style>
  <w:style w:type="paragraph" w:styleId="HTMLPreformatted">
    <w:name w:val="HTML Preformatted"/>
    <w:basedOn w:val="Normal"/>
    <w:link w:val="HTMLPreformattedChar"/>
    <w:uiPriority w:val="99"/>
    <w:unhideWhenUsed/>
    <w:rsid w:val="001671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16716F"/>
    <w:rPr>
      <w:rFonts w:ascii="Courier New" w:eastAsia="Times New Roman" w:hAnsi="Courier New" w:cs="Courier New"/>
      <w:sz w:val="20"/>
      <w:szCs w:val="20"/>
      <w:lang w:eastAsia="en-GB"/>
    </w:rPr>
  </w:style>
  <w:style w:type="character" w:styleId="FollowedHyperlink">
    <w:name w:val="FollowedHyperlink"/>
    <w:basedOn w:val="DefaultParagraphFont"/>
    <w:uiPriority w:val="99"/>
    <w:semiHidden/>
    <w:unhideWhenUsed/>
    <w:rsid w:val="0016716F"/>
    <w:rPr>
      <w:color w:val="954F72" w:themeColor="followedHyperlink"/>
      <w:u w:val="single"/>
    </w:rPr>
  </w:style>
  <w:style w:type="paragraph" w:customStyle="1" w:styleId="figurecaption">
    <w:name w:val="figure caption"/>
    <w:basedOn w:val="Normal"/>
    <w:qFormat/>
    <w:rsid w:val="0016716F"/>
    <w:pPr>
      <w:keepNext/>
      <w:ind w:firstLine="0"/>
      <w:jc w:val="both"/>
    </w:pPr>
    <w:rPr>
      <w:color w:val="000000" w:themeColor="text1"/>
      <w:sz w:val="20"/>
      <w:szCs w:val="20"/>
    </w:rPr>
  </w:style>
  <w:style w:type="paragraph" w:styleId="FootnoteText">
    <w:name w:val="footnote text"/>
    <w:basedOn w:val="Normal"/>
    <w:link w:val="FootnoteTextChar"/>
    <w:uiPriority w:val="99"/>
    <w:semiHidden/>
    <w:unhideWhenUsed/>
    <w:rsid w:val="0016716F"/>
    <w:pPr>
      <w:spacing w:line="240" w:lineRule="auto"/>
    </w:pPr>
    <w:rPr>
      <w:sz w:val="20"/>
      <w:szCs w:val="20"/>
    </w:rPr>
  </w:style>
  <w:style w:type="character" w:customStyle="1" w:styleId="FootnoteTextChar">
    <w:name w:val="Footnote Text Char"/>
    <w:basedOn w:val="DefaultParagraphFont"/>
    <w:link w:val="FootnoteText"/>
    <w:uiPriority w:val="99"/>
    <w:semiHidden/>
    <w:rsid w:val="0016716F"/>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semiHidden/>
    <w:unhideWhenUsed/>
    <w:rsid w:val="0016716F"/>
    <w:rPr>
      <w:vertAlign w:val="superscript"/>
    </w:rPr>
  </w:style>
  <w:style w:type="character" w:styleId="LineNumber">
    <w:name w:val="line number"/>
    <w:basedOn w:val="DefaultParagraphFont"/>
    <w:uiPriority w:val="99"/>
    <w:semiHidden/>
    <w:unhideWhenUsed/>
    <w:rsid w:val="001671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87064">
      <w:bodyDiv w:val="1"/>
      <w:marLeft w:val="0"/>
      <w:marRight w:val="0"/>
      <w:marTop w:val="0"/>
      <w:marBottom w:val="0"/>
      <w:divBdr>
        <w:top w:val="none" w:sz="0" w:space="0" w:color="auto"/>
        <w:left w:val="none" w:sz="0" w:space="0" w:color="auto"/>
        <w:bottom w:val="none" w:sz="0" w:space="0" w:color="auto"/>
        <w:right w:val="none" w:sz="0" w:space="0" w:color="auto"/>
      </w:divBdr>
    </w:div>
    <w:div w:id="158348636">
      <w:bodyDiv w:val="1"/>
      <w:marLeft w:val="0"/>
      <w:marRight w:val="0"/>
      <w:marTop w:val="0"/>
      <w:marBottom w:val="0"/>
      <w:divBdr>
        <w:top w:val="none" w:sz="0" w:space="0" w:color="auto"/>
        <w:left w:val="none" w:sz="0" w:space="0" w:color="auto"/>
        <w:bottom w:val="none" w:sz="0" w:space="0" w:color="auto"/>
        <w:right w:val="none" w:sz="0" w:space="0" w:color="auto"/>
      </w:divBdr>
    </w:div>
    <w:div w:id="305594391">
      <w:bodyDiv w:val="1"/>
      <w:marLeft w:val="0"/>
      <w:marRight w:val="0"/>
      <w:marTop w:val="0"/>
      <w:marBottom w:val="0"/>
      <w:divBdr>
        <w:top w:val="none" w:sz="0" w:space="0" w:color="auto"/>
        <w:left w:val="none" w:sz="0" w:space="0" w:color="auto"/>
        <w:bottom w:val="none" w:sz="0" w:space="0" w:color="auto"/>
        <w:right w:val="none" w:sz="0" w:space="0" w:color="auto"/>
      </w:divBdr>
    </w:div>
    <w:div w:id="479929514">
      <w:bodyDiv w:val="1"/>
      <w:marLeft w:val="0"/>
      <w:marRight w:val="0"/>
      <w:marTop w:val="0"/>
      <w:marBottom w:val="0"/>
      <w:divBdr>
        <w:top w:val="none" w:sz="0" w:space="0" w:color="auto"/>
        <w:left w:val="none" w:sz="0" w:space="0" w:color="auto"/>
        <w:bottom w:val="none" w:sz="0" w:space="0" w:color="auto"/>
        <w:right w:val="none" w:sz="0" w:space="0" w:color="auto"/>
      </w:divBdr>
    </w:div>
    <w:div w:id="669912902">
      <w:bodyDiv w:val="1"/>
      <w:marLeft w:val="0"/>
      <w:marRight w:val="0"/>
      <w:marTop w:val="0"/>
      <w:marBottom w:val="0"/>
      <w:divBdr>
        <w:top w:val="none" w:sz="0" w:space="0" w:color="auto"/>
        <w:left w:val="none" w:sz="0" w:space="0" w:color="auto"/>
        <w:bottom w:val="none" w:sz="0" w:space="0" w:color="auto"/>
        <w:right w:val="none" w:sz="0" w:space="0" w:color="auto"/>
      </w:divBdr>
      <w:divsChild>
        <w:div w:id="14811160">
          <w:marLeft w:val="0"/>
          <w:marRight w:val="0"/>
          <w:marTop w:val="0"/>
          <w:marBottom w:val="0"/>
          <w:divBdr>
            <w:top w:val="none" w:sz="0" w:space="0" w:color="auto"/>
            <w:left w:val="none" w:sz="0" w:space="0" w:color="auto"/>
            <w:bottom w:val="none" w:sz="0" w:space="0" w:color="auto"/>
            <w:right w:val="none" w:sz="0" w:space="0" w:color="auto"/>
          </w:divBdr>
          <w:divsChild>
            <w:div w:id="25764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10555">
      <w:bodyDiv w:val="1"/>
      <w:marLeft w:val="0"/>
      <w:marRight w:val="0"/>
      <w:marTop w:val="0"/>
      <w:marBottom w:val="0"/>
      <w:divBdr>
        <w:top w:val="none" w:sz="0" w:space="0" w:color="auto"/>
        <w:left w:val="none" w:sz="0" w:space="0" w:color="auto"/>
        <w:bottom w:val="none" w:sz="0" w:space="0" w:color="auto"/>
        <w:right w:val="none" w:sz="0" w:space="0" w:color="auto"/>
      </w:divBdr>
    </w:div>
    <w:div w:id="1020859890">
      <w:bodyDiv w:val="1"/>
      <w:marLeft w:val="0"/>
      <w:marRight w:val="0"/>
      <w:marTop w:val="0"/>
      <w:marBottom w:val="0"/>
      <w:divBdr>
        <w:top w:val="none" w:sz="0" w:space="0" w:color="auto"/>
        <w:left w:val="none" w:sz="0" w:space="0" w:color="auto"/>
        <w:bottom w:val="none" w:sz="0" w:space="0" w:color="auto"/>
        <w:right w:val="none" w:sz="0" w:space="0" w:color="auto"/>
      </w:divBdr>
    </w:div>
    <w:div w:id="1074397469">
      <w:bodyDiv w:val="1"/>
      <w:marLeft w:val="0"/>
      <w:marRight w:val="0"/>
      <w:marTop w:val="0"/>
      <w:marBottom w:val="0"/>
      <w:divBdr>
        <w:top w:val="none" w:sz="0" w:space="0" w:color="auto"/>
        <w:left w:val="none" w:sz="0" w:space="0" w:color="auto"/>
        <w:bottom w:val="none" w:sz="0" w:space="0" w:color="auto"/>
        <w:right w:val="none" w:sz="0" w:space="0" w:color="auto"/>
      </w:divBdr>
      <w:divsChild>
        <w:div w:id="900364104">
          <w:marLeft w:val="0"/>
          <w:marRight w:val="0"/>
          <w:marTop w:val="0"/>
          <w:marBottom w:val="0"/>
          <w:divBdr>
            <w:top w:val="none" w:sz="0" w:space="0" w:color="auto"/>
            <w:left w:val="none" w:sz="0" w:space="0" w:color="auto"/>
            <w:bottom w:val="none" w:sz="0" w:space="0" w:color="auto"/>
            <w:right w:val="none" w:sz="0" w:space="0" w:color="auto"/>
          </w:divBdr>
          <w:divsChild>
            <w:div w:id="212037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789012">
      <w:bodyDiv w:val="1"/>
      <w:marLeft w:val="0"/>
      <w:marRight w:val="0"/>
      <w:marTop w:val="0"/>
      <w:marBottom w:val="0"/>
      <w:divBdr>
        <w:top w:val="none" w:sz="0" w:space="0" w:color="auto"/>
        <w:left w:val="none" w:sz="0" w:space="0" w:color="auto"/>
        <w:bottom w:val="none" w:sz="0" w:space="0" w:color="auto"/>
        <w:right w:val="none" w:sz="0" w:space="0" w:color="auto"/>
      </w:divBdr>
    </w:div>
    <w:div w:id="1436055928">
      <w:bodyDiv w:val="1"/>
      <w:marLeft w:val="0"/>
      <w:marRight w:val="0"/>
      <w:marTop w:val="0"/>
      <w:marBottom w:val="0"/>
      <w:divBdr>
        <w:top w:val="none" w:sz="0" w:space="0" w:color="auto"/>
        <w:left w:val="none" w:sz="0" w:space="0" w:color="auto"/>
        <w:bottom w:val="none" w:sz="0" w:space="0" w:color="auto"/>
        <w:right w:val="none" w:sz="0" w:space="0" w:color="auto"/>
      </w:divBdr>
      <w:divsChild>
        <w:div w:id="193663256">
          <w:marLeft w:val="0"/>
          <w:marRight w:val="0"/>
          <w:marTop w:val="0"/>
          <w:marBottom w:val="0"/>
          <w:divBdr>
            <w:top w:val="none" w:sz="0" w:space="0" w:color="auto"/>
            <w:left w:val="none" w:sz="0" w:space="0" w:color="auto"/>
            <w:bottom w:val="none" w:sz="0" w:space="0" w:color="auto"/>
            <w:right w:val="none" w:sz="0" w:space="0" w:color="auto"/>
          </w:divBdr>
          <w:divsChild>
            <w:div w:id="930971454">
              <w:marLeft w:val="0"/>
              <w:marRight w:val="0"/>
              <w:marTop w:val="0"/>
              <w:marBottom w:val="0"/>
              <w:divBdr>
                <w:top w:val="none" w:sz="0" w:space="0" w:color="auto"/>
                <w:left w:val="none" w:sz="0" w:space="0" w:color="auto"/>
                <w:bottom w:val="none" w:sz="0" w:space="0" w:color="auto"/>
                <w:right w:val="none" w:sz="0" w:space="0" w:color="auto"/>
              </w:divBdr>
            </w:div>
            <w:div w:id="691345121">
              <w:marLeft w:val="0"/>
              <w:marRight w:val="0"/>
              <w:marTop w:val="0"/>
              <w:marBottom w:val="0"/>
              <w:divBdr>
                <w:top w:val="none" w:sz="0" w:space="0" w:color="auto"/>
                <w:left w:val="none" w:sz="0" w:space="0" w:color="auto"/>
                <w:bottom w:val="none" w:sz="0" w:space="0" w:color="auto"/>
                <w:right w:val="none" w:sz="0" w:space="0" w:color="auto"/>
              </w:divBdr>
            </w:div>
            <w:div w:id="1408843135">
              <w:marLeft w:val="0"/>
              <w:marRight w:val="0"/>
              <w:marTop w:val="0"/>
              <w:marBottom w:val="0"/>
              <w:divBdr>
                <w:top w:val="none" w:sz="0" w:space="0" w:color="auto"/>
                <w:left w:val="none" w:sz="0" w:space="0" w:color="auto"/>
                <w:bottom w:val="none" w:sz="0" w:space="0" w:color="auto"/>
                <w:right w:val="none" w:sz="0" w:space="0" w:color="auto"/>
              </w:divBdr>
            </w:div>
            <w:div w:id="1032078185">
              <w:marLeft w:val="0"/>
              <w:marRight w:val="0"/>
              <w:marTop w:val="0"/>
              <w:marBottom w:val="0"/>
              <w:divBdr>
                <w:top w:val="none" w:sz="0" w:space="0" w:color="auto"/>
                <w:left w:val="none" w:sz="0" w:space="0" w:color="auto"/>
                <w:bottom w:val="none" w:sz="0" w:space="0" w:color="auto"/>
                <w:right w:val="none" w:sz="0" w:space="0" w:color="auto"/>
              </w:divBdr>
            </w:div>
            <w:div w:id="98959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519">
      <w:bodyDiv w:val="1"/>
      <w:marLeft w:val="0"/>
      <w:marRight w:val="0"/>
      <w:marTop w:val="0"/>
      <w:marBottom w:val="0"/>
      <w:divBdr>
        <w:top w:val="none" w:sz="0" w:space="0" w:color="auto"/>
        <w:left w:val="none" w:sz="0" w:space="0" w:color="auto"/>
        <w:bottom w:val="none" w:sz="0" w:space="0" w:color="auto"/>
        <w:right w:val="none" w:sz="0" w:space="0" w:color="auto"/>
      </w:divBdr>
      <w:divsChild>
        <w:div w:id="819885620">
          <w:marLeft w:val="0"/>
          <w:marRight w:val="0"/>
          <w:marTop w:val="0"/>
          <w:marBottom w:val="0"/>
          <w:divBdr>
            <w:top w:val="none" w:sz="0" w:space="0" w:color="auto"/>
            <w:left w:val="none" w:sz="0" w:space="0" w:color="auto"/>
            <w:bottom w:val="none" w:sz="0" w:space="0" w:color="auto"/>
            <w:right w:val="none" w:sz="0" w:space="0" w:color="auto"/>
          </w:divBdr>
          <w:divsChild>
            <w:div w:id="183471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219780">
      <w:bodyDiv w:val="1"/>
      <w:marLeft w:val="0"/>
      <w:marRight w:val="0"/>
      <w:marTop w:val="0"/>
      <w:marBottom w:val="0"/>
      <w:divBdr>
        <w:top w:val="none" w:sz="0" w:space="0" w:color="auto"/>
        <w:left w:val="none" w:sz="0" w:space="0" w:color="auto"/>
        <w:bottom w:val="none" w:sz="0" w:space="0" w:color="auto"/>
        <w:right w:val="none" w:sz="0" w:space="0" w:color="auto"/>
      </w:divBdr>
      <w:divsChild>
        <w:div w:id="1200895823">
          <w:marLeft w:val="0"/>
          <w:marRight w:val="0"/>
          <w:marTop w:val="0"/>
          <w:marBottom w:val="0"/>
          <w:divBdr>
            <w:top w:val="none" w:sz="0" w:space="0" w:color="auto"/>
            <w:left w:val="none" w:sz="0" w:space="0" w:color="auto"/>
            <w:bottom w:val="none" w:sz="0" w:space="0" w:color="auto"/>
            <w:right w:val="none" w:sz="0" w:space="0" w:color="auto"/>
          </w:divBdr>
          <w:divsChild>
            <w:div w:id="89058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948803">
      <w:bodyDiv w:val="1"/>
      <w:marLeft w:val="0"/>
      <w:marRight w:val="0"/>
      <w:marTop w:val="0"/>
      <w:marBottom w:val="0"/>
      <w:divBdr>
        <w:top w:val="none" w:sz="0" w:space="0" w:color="auto"/>
        <w:left w:val="none" w:sz="0" w:space="0" w:color="auto"/>
        <w:bottom w:val="none" w:sz="0" w:space="0" w:color="auto"/>
        <w:right w:val="none" w:sz="0" w:space="0" w:color="auto"/>
      </w:divBdr>
      <w:divsChild>
        <w:div w:id="979921400">
          <w:marLeft w:val="0"/>
          <w:marRight w:val="0"/>
          <w:marTop w:val="0"/>
          <w:marBottom w:val="0"/>
          <w:divBdr>
            <w:top w:val="none" w:sz="0" w:space="0" w:color="auto"/>
            <w:left w:val="none" w:sz="0" w:space="0" w:color="auto"/>
            <w:bottom w:val="none" w:sz="0" w:space="0" w:color="auto"/>
            <w:right w:val="none" w:sz="0" w:space="0" w:color="auto"/>
          </w:divBdr>
          <w:divsChild>
            <w:div w:id="206180836">
              <w:marLeft w:val="0"/>
              <w:marRight w:val="0"/>
              <w:marTop w:val="0"/>
              <w:marBottom w:val="0"/>
              <w:divBdr>
                <w:top w:val="none" w:sz="0" w:space="0" w:color="auto"/>
                <w:left w:val="none" w:sz="0" w:space="0" w:color="auto"/>
                <w:bottom w:val="none" w:sz="0" w:space="0" w:color="auto"/>
                <w:right w:val="none" w:sz="0" w:space="0" w:color="auto"/>
              </w:divBdr>
            </w:div>
            <w:div w:id="1709988406">
              <w:marLeft w:val="0"/>
              <w:marRight w:val="0"/>
              <w:marTop w:val="0"/>
              <w:marBottom w:val="0"/>
              <w:divBdr>
                <w:top w:val="none" w:sz="0" w:space="0" w:color="auto"/>
                <w:left w:val="none" w:sz="0" w:space="0" w:color="auto"/>
                <w:bottom w:val="none" w:sz="0" w:space="0" w:color="auto"/>
                <w:right w:val="none" w:sz="0" w:space="0" w:color="auto"/>
              </w:divBdr>
            </w:div>
            <w:div w:id="2130081937">
              <w:marLeft w:val="0"/>
              <w:marRight w:val="0"/>
              <w:marTop w:val="0"/>
              <w:marBottom w:val="0"/>
              <w:divBdr>
                <w:top w:val="none" w:sz="0" w:space="0" w:color="auto"/>
                <w:left w:val="none" w:sz="0" w:space="0" w:color="auto"/>
                <w:bottom w:val="none" w:sz="0" w:space="0" w:color="auto"/>
                <w:right w:val="none" w:sz="0" w:space="0" w:color="auto"/>
              </w:divBdr>
            </w:div>
            <w:div w:id="1967807841">
              <w:marLeft w:val="0"/>
              <w:marRight w:val="0"/>
              <w:marTop w:val="0"/>
              <w:marBottom w:val="0"/>
              <w:divBdr>
                <w:top w:val="none" w:sz="0" w:space="0" w:color="auto"/>
                <w:left w:val="none" w:sz="0" w:space="0" w:color="auto"/>
                <w:bottom w:val="none" w:sz="0" w:space="0" w:color="auto"/>
                <w:right w:val="none" w:sz="0" w:space="0" w:color="auto"/>
              </w:divBdr>
            </w:div>
            <w:div w:id="121464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90872">
      <w:bodyDiv w:val="1"/>
      <w:marLeft w:val="0"/>
      <w:marRight w:val="0"/>
      <w:marTop w:val="0"/>
      <w:marBottom w:val="0"/>
      <w:divBdr>
        <w:top w:val="none" w:sz="0" w:space="0" w:color="auto"/>
        <w:left w:val="none" w:sz="0" w:space="0" w:color="auto"/>
        <w:bottom w:val="none" w:sz="0" w:space="0" w:color="auto"/>
        <w:right w:val="none" w:sz="0" w:space="0" w:color="auto"/>
      </w:divBdr>
      <w:divsChild>
        <w:div w:id="56124446">
          <w:marLeft w:val="0"/>
          <w:marRight w:val="0"/>
          <w:marTop w:val="0"/>
          <w:marBottom w:val="0"/>
          <w:divBdr>
            <w:top w:val="none" w:sz="0" w:space="0" w:color="auto"/>
            <w:left w:val="none" w:sz="0" w:space="0" w:color="auto"/>
            <w:bottom w:val="none" w:sz="0" w:space="0" w:color="auto"/>
            <w:right w:val="none" w:sz="0" w:space="0" w:color="auto"/>
          </w:divBdr>
          <w:divsChild>
            <w:div w:id="160295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12858">
      <w:bodyDiv w:val="1"/>
      <w:marLeft w:val="0"/>
      <w:marRight w:val="0"/>
      <w:marTop w:val="0"/>
      <w:marBottom w:val="0"/>
      <w:divBdr>
        <w:top w:val="none" w:sz="0" w:space="0" w:color="auto"/>
        <w:left w:val="none" w:sz="0" w:space="0" w:color="auto"/>
        <w:bottom w:val="none" w:sz="0" w:space="0" w:color="auto"/>
        <w:right w:val="none" w:sz="0" w:space="0" w:color="auto"/>
      </w:divBdr>
      <w:divsChild>
        <w:div w:id="2057048281">
          <w:marLeft w:val="0"/>
          <w:marRight w:val="0"/>
          <w:marTop w:val="0"/>
          <w:marBottom w:val="0"/>
          <w:divBdr>
            <w:top w:val="none" w:sz="0" w:space="0" w:color="auto"/>
            <w:left w:val="none" w:sz="0" w:space="0" w:color="auto"/>
            <w:bottom w:val="none" w:sz="0" w:space="0" w:color="auto"/>
            <w:right w:val="none" w:sz="0" w:space="0" w:color="auto"/>
          </w:divBdr>
          <w:divsChild>
            <w:div w:id="1986616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36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15/9781501508684-0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1CA365-F9E6-8248-99B3-121A47090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49807</Words>
  <Characters>283902</Characters>
  <Application>Microsoft Office Word</Application>
  <DocSecurity>0</DocSecurity>
  <Lines>2365</Lines>
  <Paragraphs>666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Hughes, Ery C. (Ery)</dc:creator>
  <cp:keywords/>
  <dc:description/>
  <cp:lastModifiedBy>Anonymous</cp:lastModifiedBy>
  <cp:revision>8</cp:revision>
  <dcterms:created xsi:type="dcterms:W3CDTF">2025-05-28T09:02:00Z</dcterms:created>
  <dcterms:modified xsi:type="dcterms:W3CDTF">2025-11-04T07:37:00Z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http://www.zotero.org/styles/earth-and-planetary-science-letters</vt:lpwstr>
  </property>
  <property fmtid="{D5CDD505-2E9C-101B-9397-08002B2CF9AE}" pid="13" name="Mendeley Recent Style Name 5_1">
    <vt:lpwstr>Earth and Planetary Science Letters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http://www.zotero.org/styles/journal-of-the-geological-society</vt:lpwstr>
  </property>
  <property fmtid="{D5CDD505-2E9C-101B-9397-08002B2CF9AE}" pid="17" name="Mendeley Recent Style Name 7_1">
    <vt:lpwstr>Journal of the Geological Society</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http://csl.mendeley.com/styles/24017311/nature</vt:lpwstr>
  </property>
  <property fmtid="{D5CDD505-2E9C-101B-9397-08002B2CF9AE}" pid="21" name="Mendeley Recent Style Name 9_1">
    <vt:lpwstr>Nature - Ery Hughes</vt:lpwstr>
  </property>
  <property fmtid="{D5CDD505-2E9C-101B-9397-08002B2CF9AE}" pid="22" name="Mendeley Document_1">
    <vt:lpwstr>True</vt:lpwstr>
  </property>
  <property fmtid="{D5CDD505-2E9C-101B-9397-08002B2CF9AE}" pid="23" name="Mendeley Unique User Id_1">
    <vt:lpwstr>ffd0abb2-0b0b-321c-9660-16dd96cb343e</vt:lpwstr>
  </property>
  <property fmtid="{D5CDD505-2E9C-101B-9397-08002B2CF9AE}" pid="24" name="Mendeley Citation Style_1">
    <vt:lpwstr>http://www.zotero.org/styles/earth-and-planetary-science-letters</vt:lpwstr>
  </property>
</Properties>
</file>